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color w:val="17324d"/>
          <w:sz w:val="44"/>
          <w:szCs w:val="44"/>
          <w:rtl w:val="0"/>
        </w:rPr>
        <w:t xml:space="preserve">STEFAN DUPREY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c77b3b" w:space="6" w:sz="26" w:val="single"/>
        </w:pBdr>
        <w:spacing w:after="130" w:before="40" w:lineRule="auto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color w:val="222528"/>
          <w:sz w:val="22"/>
          <w:szCs w:val="22"/>
          <w:rtl w:val="0"/>
        </w:rPr>
        <w:t xml:space="preserve">Consultant Senior IA / ML   ·   Data Science &amp; Quant   ·   Finance &amp; Blockchain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000"/>
      </w:tblPr>
      <w:tblGrid>
        <w:gridCol w:w="3450"/>
        <w:gridCol w:w="7016"/>
        <w:tblGridChange w:id="0">
          <w:tblGrid>
            <w:gridCol w:w="3450"/>
            <w:gridCol w:w="7016"/>
          </w:tblGrid>
        </w:tblGridChange>
      </w:tblGrid>
      <w:tr>
        <w:trPr>
          <w:cantSplit w:val="0"/>
          <w:tblHeader w:val="0"/>
        </w:trPr>
        <w:tc>
          <w:tcPr>
            <w:shd w:fill="edf1f5" w:val="clear"/>
            <w:tcMar>
              <w:top w:w="200.0" w:type="dxa"/>
              <w:left w:w="220.0" w:type="dxa"/>
              <w:bottom w:w="200.0" w:type="dxa"/>
              <w:right w:w="26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pBdr>
                <w:bottom w:color="c77b3b" w:space="3" w:sz="10" w:val="single"/>
              </w:pBdr>
              <w:spacing w:after="9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Chaville (92), Île-de-France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50" w:lineRule="auto"/>
              <w:rPr/>
            </w:pPr>
            <w:hyperlink r:id="rId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stefan.duprey@gmail.com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50" w:lineRule="auto"/>
              <w:rPr/>
            </w:pPr>
            <w:hyperlink r:id="rId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linkedin.com/in/stefanduprey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0" w:line="250" w:lineRule="auto"/>
              <w:rPr/>
            </w:pPr>
            <w:hyperlink r:id="rId9">
              <w:r w:rsidDel="00000000" w:rsidR="00000000" w:rsidRPr="00000000">
                <w:rPr>
                  <w:color w:val="c77b3b"/>
                  <w:sz w:val="17"/>
                  <w:szCs w:val="17"/>
                  <w:u w:val="single"/>
                  <w:rtl w:val="0"/>
                </w:rPr>
                <w:t xml:space="preserve">My website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COMPÉTENCES CLÉS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IA générative &amp; agentique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LLM, RAG, agents IA, prompt engineering · chatbots RAG &amp; scoring par LLM en production · LangChain / LangGraph · Claude Code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Machine &amp; deep learning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Deep learning, NLP (word2vec → transformers), séries temporelles (PyTorch, Prophet, LSTM) · Top Kaggler (Top 1 %)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MLOps &amp; plateformes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GCP Vertex AI (certifié PMLE) · AWS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·Azure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Modélisation quantitative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Finance de marché, gestion d'actifs, dérivés · optimisation de portefeuille · blockchain / DeFi · crypto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120" w:line="250" w:lineRule="auto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Langages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Python, Java, Matlab,  R, SQL, Solidity  </w:t>
            </w:r>
          </w:p>
          <w:p w:rsidR="00000000" w:rsidDel="00000000" w:rsidP="00000000" w:rsidRDefault="00000000" w:rsidRPr="00000000" w14:paraId="0000000E">
            <w:pPr>
              <w:spacing w:after="120" w:line="250" w:lineRule="auto"/>
              <w:rPr>
                <w:sz w:val="17"/>
                <w:szCs w:val="17"/>
              </w:rPr>
            </w:pPr>
            <w:r w:rsidDel="00000000" w:rsidR="00000000" w:rsidRPr="00000000">
              <w:rPr>
                <w:b w:val="1"/>
                <w:bCs w:val="1"/>
                <w:color w:val="17324d"/>
                <w:sz w:val="17"/>
                <w:szCs w:val="17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PostgreSQL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·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Redshift · </w:t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lasticSearch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12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Enseignement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sz w:val="17"/>
                <w:szCs w:val="17"/>
                <w:rtl w:val="0"/>
              </w:rPr>
              <w:t xml:space="preserve">AI -Data science - Software development Mathematics  - Financial Mathematics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CERTIFICATIONS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40" w:line="250" w:lineRule="auto"/>
              <w:rPr>
                <w:sz w:val="17"/>
                <w:szCs w:val="17"/>
              </w:rPr>
            </w:pPr>
            <w:hyperlink r:id="rId10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Google Cloud — Professional Machine Learning Engineer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40" w:line="250" w:lineRule="auto"/>
              <w:rPr>
                <w:sz w:val="17"/>
                <w:szCs w:val="17"/>
              </w:rPr>
            </w:pPr>
            <w:hyperlink r:id="rId11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Claude Certified Architect - Foundations</w:t>
              </w:r>
            </w:hyperlink>
            <w:hyperlink r:id="rId12">
              <w:r w:rsidDel="00000000" w:rsidR="00000000" w:rsidRPr="00000000">
                <w:rPr>
                  <w:color w:val="1155cc"/>
                  <w:sz w:val="17"/>
                  <w:szCs w:val="17"/>
                  <w:u w:val="single"/>
                  <w:rtl w:val="0"/>
                </w:rPr>
                <w:t xml:space="preserve"> 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spacing w:after="40" w:line="250" w:lineRule="auto"/>
              <w:rPr/>
            </w:pPr>
            <w:hyperlink r:id="rId13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i w:val="0"/>
                  <w:iCs w:val="0"/>
                  <w:color w:val="1155cc"/>
                  <w:sz w:val="17"/>
                  <w:szCs w:val="17"/>
                  <w:u w:val="single"/>
                  <w:rtl w:val="0"/>
                </w:rPr>
                <w:t xml:space="preserve">Certification AMF — Autorité des Marchés Financiers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LANGUES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Français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langue maternelle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Anglais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courant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4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7"/>
                <w:szCs w:val="17"/>
                <w:rtl w:val="0"/>
              </w:rPr>
              <w:t xml:space="preserve">Allemand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professionnel (Goethe Institut)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Bdr>
                <w:bottom w:color="c77b3b" w:space="3" w:sz="10" w:val="single"/>
              </w:pBdr>
              <w:spacing w:after="90" w:before="2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8"/>
                <w:szCs w:val="18"/>
                <w:rtl w:val="0"/>
              </w:rPr>
              <w:t xml:space="preserve">LIENS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40" w:line="250" w:lineRule="auto"/>
              <w:rPr/>
            </w:pPr>
            <w:hyperlink r:id="rId14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LinkedIn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5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Academia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6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GitHub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after="0" w:line="250" w:lineRule="auto"/>
              <w:rPr/>
            </w:pPr>
            <w:hyperlink r:id="rId17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Kaggle (Top 1 %)</w:t>
              </w:r>
            </w:hyperlink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7"/>
                <w:szCs w:val="17"/>
                <w:rtl w:val="0"/>
              </w:rPr>
              <w:t xml:space="preserve">  ·  </w:t>
            </w:r>
            <w:hyperlink r:id="rId18">
              <w:r w:rsidDel="00000000" w:rsidR="00000000" w:rsidRPr="00000000">
                <w:rPr>
                  <w:rFonts w:ascii="Calibri" w:cs="Calibri" w:eastAsia="Calibri" w:hAnsi="Calibri"/>
                  <w:b w:val="0"/>
                  <w:bCs w:val="0"/>
                  <w:color w:val="c77b3b"/>
                  <w:sz w:val="17"/>
                  <w:szCs w:val="17"/>
                  <w:u w:val="single"/>
                  <w:rtl w:val="0"/>
                </w:rPr>
                <w:t xml:space="preserve">SlideShare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00.0" w:type="dxa"/>
              <w:left w:w="340.0" w:type="dxa"/>
              <w:bottom w:w="12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bottom w:color="c77b3b" w:space="4" w:sz="12" w:val="single"/>
              </w:pBdr>
              <w:spacing w:after="13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PROFIL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20 ans à concevoir et déployer des systèmes d'IA qui tiennent en production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applications LLM &amp; IA agentique, pipelines MLOps pour tirer de la valeur métier des données.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Expérience de bout en bout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en IA agentique, machine learning, data science, algorithmique, data analytics, économétrie, mathématiques appliquées et ingénierie logicielle — NLP par deep learning sur embeddings word2vec dès 2014.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Product manager IA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: je transforme des POC en produits en production — cadrage des cas d'usage, priorisation valeur / faisabilité, delivery et reporting.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9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19"/>
                <w:szCs w:val="19"/>
                <w:rtl w:val="0"/>
              </w:rPr>
              <w:t xml:space="preserve">Leader technique transverse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222528"/>
                <w:sz w:val="19"/>
                <w:szCs w:val="19"/>
                <w:rtl w:val="0"/>
              </w:rPr>
              <w:t xml:space="preserve"> — quant, data scientist, ML engineer &amp; développeur : j'apporte les fondements mathématiques de l'IA moderne, pas seulement les surcouches.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40" w:line="258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8"/>
                <w:szCs w:val="18"/>
                <w:rtl w:val="0"/>
              </w:rPr>
              <w:t xml:space="preserve">Doctorat en mathématiques appliquées · Master statistiques · Google PMLE · Top Kaggler · enseignant ML / data science (Dauphine, EPITA, Mines de Nancy, Aivancity, Albert School).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EXPÉRIENCE PROFESSIONNELLE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 IA / ML — Enseignant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janv. 2024 – aujourd'hui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Lead 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AI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Proof of Value « IA au service de la chaîne DevOps / Data »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pour une grande banque française (via Keyrus) : intégration d'agents IA dans la CI/CD, génération de tests assistée par IA, outil automatisé de data lineage (SQLGlot / NetworkX).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 Lead AI –  PoC LLM piloting RPA </w:t>
            </w:r>
            <w:r w:rsidDel="00000000" w:rsidR="00000000" w:rsidRPr="00000000">
              <w:rPr>
                <w:rtl w:val="0"/>
              </w:rPr>
              <w:t xml:space="preserve">conception d'un agent web qui automatise la saisie multi-assureurs pour les courtiers. Il repose sur un moteur de schema matching hybride (règles, embeddings, LLM), le System 1 model (SoM), JEV et typesafe.ai, le tout sur une architecture Azure souveraine.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after="240" w:before="240" w:line="252.00000000000003" w:lineRule="auto"/>
              <w:ind w:left="720" w:hanging="360"/>
            </w:pP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Technical lead AI –  PoC for an agent Text-to-SPARQL</w:t>
            </w:r>
            <w:r w:rsidDel="00000000" w:rsidR="00000000" w:rsidRPr="00000000">
              <w:rPr>
                <w:rtl w:val="0"/>
              </w:rPr>
              <w:t xml:space="preserve"> to request a graph database with NLP</w:t>
            </w:r>
          </w:p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Enseignement IA, data science &amp; méthodes quantitatives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prompt engineering &amp; LangChain / LangGraph (Albert School), data science, optimisation &amp; blockchain (EPITA), Python pour la finance (Master Finance, Dauphine), séries temporelles &amp; probabilités (Aivancity), analyse numérique (Mines de Nancy).</w:t>
            </w:r>
          </w:p>
          <w:p w:rsidR="00000000" w:rsidDel="00000000" w:rsidP="00000000" w:rsidRDefault="00000000" w:rsidRPr="00000000" w14:paraId="00000029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&amp; AI Engineer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SwissBorg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févr. 2022 – mai 2026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Produits IA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chatbot RAG d'exploration de l'offre (POC → production) ; moteur de recommandation IA (POC → industrialisation) ; pricing IA de stratégies optionnelles (payoff, calibration de courbes / surfaces de volatilité / corrélations, greeks) ; moteur KYD de profilage de risque et de recommandation d'investissement.</w:t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spécifications de SwissBorg MEX (méta-agrégateur de liquidité CEX &amp; DEX) ; bots de market-making hybrides CEX/DEX (liquidité concentrée, gestion d'inventaire) ; AMC smart-beta pour institutionnels, fonds de signaux trend-following, indices sectoriels RWA, optimisation de staking &amp; yield-farming DeFi.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engineering &amp; DataOps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pipelines DataOps, librairies Python de backtesting, bots de trading / signaux, dashboards produits. Multi-container Docker setup built on the open-source Hummingbot framework, handling multiple pairs and venues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LangChain / LangGraph, PyTorch, Prophet, Airflow, Kafka, Redshift, Metabase, Docker, Claude Code.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Quantitative Analyst / Data Scientist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CoinShares (ex-NapoleonX)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2019 – févr. 2022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ML &amp; data science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IA / data science au service des stratégies financières et de la meilleure exécution ; prévision et modélisation quantitative en Python (PyTorch, Prophet).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Gestion d'actifs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gérant délégué d'un fonds réglementé de futures bitcoin — opérations quotidiennes (NAV, rachats, roll de futures).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logicielle &amp; blockchain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microservices de trading crypto, rebalancing de fonds et APIs de paiement ; cryptographie appliquée (Merkle, zk-SNARK) ; smart contracts d'ICO.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Product management</w:t>
            </w:r>
            <w:r w:rsidDel="00000000" w:rsidR="00000000" w:rsidRPr="00000000">
              <w:rPr>
                <w:b w:val="1"/>
                <w:bCs w:val="1"/>
                <w:color w:val="17324d"/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framework de fonds autonome décentralisé (asset management on-chain) ; framework de preuve de performance / preuve d'alpha labellisé Finance Innovation.</w:t>
            </w:r>
          </w:p>
          <w:p w:rsidR="00000000" w:rsidDel="00000000" w:rsidP="00000000" w:rsidRDefault="00000000" w:rsidRPr="00000000" w14:paraId="00000035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Java / Spring Boot, Solidity, PyTorch, Prophet, Dash / Plotly, PostgreSQL, Kafka, ELK, S3, EC2, Docker.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Senior 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EY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nov. 2016 – mai 2019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Data science &amp; ML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feature engineering par graphes pour la détection de fraude (Neo4j) ; modèles de scoring &amp; risque de crédit (scoring, PD, LGD ; revue et validation) ; modélisation de l'abus de marché ; moteur de recherche NLP sur textes réglementaires RGPD ; open-data analytics.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Encadrement &amp; delivery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responsable formation de l'équipe data science ; product manager — mise en place de l'offre « DataLab ».</w:t>
            </w:r>
          </w:p>
          <w:p w:rsidR="00000000" w:rsidDel="00000000" w:rsidP="00000000" w:rsidRDefault="00000000" w:rsidRPr="00000000" w14:paraId="0000003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Spark, Elasticsearch, Neo4j, PostgreSQL / SAS, Tableau, RShiny.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Quantitative Analyst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RavenPack  ·  Espagne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mai 2014 – nov. 2016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NLP par deep learning pour la finance, à l'état de l'art de l'époque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modèles de deep learning pour la classification d'événements sur embeddings word2vec — parmi les premiers à appliquer les modèles de Mikolov, une décennie avant la vague LLM.</w:t>
            </w:r>
          </w:p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quantitative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signaux de trading NLP actionnables sur le flux de news du Russell 2000 ; étude intraday (minute) de l'impact des news sur les actions ; prévision macro VAR / VEC (précision PIB supérieure au consensus) ; signal NLP géopolitique pour stratégies cash-and-carry ; modèles de facteurs de risque fondés sur les news.</w:t>
            </w:r>
          </w:p>
          <w:p w:rsidR="00000000" w:rsidDel="00000000" w:rsidP="00000000" w:rsidRDefault="00000000" w:rsidRPr="00000000" w14:paraId="0000003F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Python, R, Amazon Redshift.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Consultant, Data Science &amp; Quantitative Finance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The MathWorks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juin 2010 – mai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 technique de la suite financière MathWorks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— le socle de calcul numérique et de mathématiques appliquées sur lequel repose le ML d'aujourd'hui.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Modélisation statistique &amp; optimisation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optimisation de portefeuille (Black-Litterman, CVaR, MAD, risk parity, modèles factoriels à covariance shrinkée) ; pricing numérique d'options exotiques ; processus stochastiques et volatilité ; modélisation de taux (cointégration / VEC, Libor Market Model) ; backtesting de mesures de risque ; moteur ALM assurance.</w:t>
            </w:r>
          </w:p>
          <w:p w:rsidR="00000000" w:rsidDel="00000000" w:rsidP="00000000" w:rsidRDefault="00000000" w:rsidRPr="00000000" w14:paraId="00000044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MATLAB, calcul numérique haute performance (simulation Monte-Carlo sur GPU).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Data Scientist / Développeur /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Freelance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août 2006 – juin 2010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Machine learning &amp; big data — Cdiscount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ML à grande échelle sur plateforme big data distribuée, des années avant que ce soit courant ; recommandation marketing adaptative ciblée (optimisation de graphes, Spark ML / GraphX) ; classifieur NLP de qualité de pages produit ; prévision sur logs crawlés ; plateforme de crawling sémantique (Solr), orchestration Talend, graphe Neo4j ; moteur de pricing retail algorithmique.</w:t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Ingénierie quantitative &amp; trading — Société Générale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référentiel produits exotiques &amp; cycle de vie ; lead du projet CUBE Risk (pricing à la demande d'un portefeuille dérivés actions exotiques) ; pricing de dérivés exotiques.</w:t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Systèmes de trading basse latence — CACIB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plateforme de trading automatisé in-house ; application basse latence de suivi de marché &amp; gestion d'ordres ; émulation d'ordres sophistiqués, de couverture et de scénarios.</w:t>
            </w:r>
          </w:p>
          <w:p w:rsidR="00000000" w:rsidDel="00000000" w:rsidP="00000000" w:rsidRDefault="00000000" w:rsidRPr="00000000" w14:paraId="0000004A">
            <w:pPr>
              <w:spacing w:after="60" w:before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Environnement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Java, Python, Spark (ML / GraphX), Solr, Neo4j, Talend.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de recherche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 ·  Paris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sept. 2003 – août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52.00000000000003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7324d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Recherche (en lien avec une thèse INRIA) : </w:t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225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 la modélisation physique aux mathématiques appliquées pour la discrétisation — mécanique des fluides &amp; acoustique, éléments finis, calcul haute performance (MPI, cluster Bull). C / Fortran.</w:t>
            </w:r>
          </w:p>
          <w:p w:rsidR="00000000" w:rsidDel="00000000" w:rsidP="00000000" w:rsidRDefault="00000000" w:rsidRPr="00000000" w14:paraId="0000004E">
            <w:pPr>
              <w:pBdr>
                <w:bottom w:color="c77b3b" w:space="4" w:sz="12" w:val="single"/>
              </w:pBdr>
              <w:spacing w:after="130" w:before="26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3"/>
                <w:szCs w:val="23"/>
                <w:rtl w:val="0"/>
              </w:rPr>
              <w:t xml:space="preserve">FORMATION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Doctorat (PhD), mathématiques appliquées / physique / informatique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EADS / Université Henri Poincaré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2003 – 2006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Ingénieur civil des Mines (mathématiques appliquées)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Mines de Nancy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2000 – 2003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after="10" w:before="17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17324d"/>
                <w:sz w:val="20"/>
                <w:szCs w:val="20"/>
                <w:rtl w:val="0"/>
              </w:rPr>
              <w:t xml:space="preserve">Master — Finance de marché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tabs>
                <w:tab w:val="right" w:leader="none" w:pos="6556"/>
              </w:tabs>
              <w:spacing w:after="3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77b3b"/>
                <w:sz w:val="18"/>
                <w:szCs w:val="18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  <w:tab/>
            </w: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1"/>
                <w:iCs w:val="1"/>
                <w:color w:val="5c6773"/>
                <w:sz w:val="17"/>
                <w:szCs w:val="17"/>
                <w:rtl w:val="0"/>
              </w:rPr>
              <w:t xml:space="preserve">2007 – 2008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560" w:top="680" w:left="680" w:right="7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22528"/>
        <w:sz w:val="19"/>
        <w:szCs w:val="19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9"/>
      <w:szCs w:val="19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9"/>
      <w:szCs w:val="19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22528"/>
      <w:sz w:val="56"/>
      <w:szCs w:val="56"/>
      <w:u w:val="none"/>
      <w:shd w:fill="auto" w:val="clear"/>
      <w:vertAlign w:val="baseline"/>
    </w:rPr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credly.com/badges/233a0f86-7a66-4920-8416-059f3f105fa7/linked_in_profile" TargetMode="External"/><Relationship Id="rId10" Type="http://schemas.openxmlformats.org/officeDocument/2006/relationships/hyperlink" Target="https://www.credly.com/badges/d45d2072-9c2c-49c2-b510-50d566a322f4/linked_in_profile" TargetMode="External"/><Relationship Id="rId13" Type="http://schemas.openxmlformats.org/officeDocument/2006/relationships/hyperlink" Target="https://sduprey.github.io/Ba_Attestation%20AMF_Stefan_DUPREY.pdf" TargetMode="External"/><Relationship Id="rId12" Type="http://schemas.openxmlformats.org/officeDocument/2006/relationships/hyperlink" Target="https://www.credly.com/badges/233a0f86-7a66-4920-8416-059f3f105fa7/linked_in_profil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sduprey.github.io" TargetMode="External"/><Relationship Id="rId15" Type="http://schemas.openxmlformats.org/officeDocument/2006/relationships/hyperlink" Target="https://independent.academia.edu/StefanDuprey" TargetMode="External"/><Relationship Id="rId14" Type="http://schemas.openxmlformats.org/officeDocument/2006/relationships/hyperlink" Target="https://www.linkedin.com/in/stefan-duprey-40076b28/" TargetMode="External"/><Relationship Id="rId17" Type="http://schemas.openxmlformats.org/officeDocument/2006/relationships/hyperlink" Target="https://www.kaggle.com/elmacho" TargetMode="External"/><Relationship Id="rId16" Type="http://schemas.openxmlformats.org/officeDocument/2006/relationships/hyperlink" Target="https://github.com/sduprey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hyperlink" Target="https://fr.slideshare.net/StefanDuprey" TargetMode="External"/><Relationship Id="rId7" Type="http://schemas.openxmlformats.org/officeDocument/2006/relationships/hyperlink" Target="mailto:stefan.duprey@gmail.com" TargetMode="External"/><Relationship Id="rId8" Type="http://schemas.openxmlformats.org/officeDocument/2006/relationships/hyperlink" Target="https://www.linkedin.com/in/stefan-duprey-40076b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XRW6ZjoRbRA583fFRZFLDQvbA==">CgMxLjA4AHIhMUd1MTAwdGdab0c0TkcteEtGVWF3SHNkblYtTUlTNDF4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2026-09-11T07:17:34.614Z</dcterms:created>
  <dc:creator>Stefan Duprey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