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7324d"/>
          <w:sz w:val="44"/>
          <w:szCs w:val="44"/>
          <w:rtl w:val="0"/>
        </w:rPr>
        <w:t xml:space="preserve">STEFAN DUPREY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c77b3b" w:space="6" w:sz="26" w:val="single"/>
        </w:pBdr>
        <w:spacing w:after="130" w:before="4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222528"/>
          <w:sz w:val="22"/>
          <w:szCs w:val="22"/>
          <w:rtl w:val="0"/>
        </w:rPr>
        <w:t xml:space="preserve">Consultant Senior IA / ML   ·   Data Science &amp; Quant   ·   Finance &amp; Blockchain</w:t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3450"/>
        <w:gridCol w:w="7016"/>
        <w:tblGridChange w:id="0">
          <w:tblGrid>
            <w:gridCol w:w="3450"/>
            <w:gridCol w:w="7016"/>
          </w:tblGrid>
        </w:tblGridChange>
      </w:tblGrid>
      <w:tr>
        <w:trPr>
          <w:cantSplit w:val="0"/>
          <w:tblHeader w:val="0"/>
        </w:trPr>
        <w:tc>
          <w:tcPr>
            <w:shd w:fill="edf1f5" w:val="clear"/>
            <w:tcMar>
              <w:top w:w="200.0" w:type="dxa"/>
              <w:left w:w="220.0" w:type="dxa"/>
              <w:bottom w:w="200.0" w:type="dxa"/>
              <w:right w:w="26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bottom w:color="c77b3b" w:space="3" w:sz="10" w:val="single"/>
              </w:pBdr>
              <w:spacing w:after="9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CONTACT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Chaville (92), Île-de-France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40" w:line="250" w:lineRule="auto"/>
              <w:rPr/>
            </w:pPr>
            <w:hyperlink r:id="rId7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stefan.duprey@gmail.com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40" w:line="250" w:lineRule="auto"/>
              <w:rPr/>
            </w:pPr>
            <w:hyperlink r:id="rId8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linkedin.com/in/stefanduprey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0" w:line="250" w:lineRule="auto"/>
              <w:rPr/>
            </w:pPr>
            <w:hyperlink r:id="rId9">
              <w:r w:rsidDel="00000000" w:rsidR="00000000" w:rsidRPr="00000000">
                <w:rPr>
                  <w:color w:val="c77b3b"/>
                  <w:sz w:val="17"/>
                  <w:szCs w:val="17"/>
                  <w:u w:val="single"/>
                  <w:rtl w:val="0"/>
                </w:rPr>
                <w:t xml:space="preserve">My website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COMPÉTENCES CLÉS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IA générative &amp; agentique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LLM, RAG, agents IA, prompt engineering · chatbots RAG &amp; scoring par LLM en production · LangChain / LangGraph · Claude Code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Machine &amp; deep learning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Deep learning, NLP (word2vec → transformers), séries temporelles (PyTorch, Prophet, LSTM) · Top Kaggler (Top 1 %)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MLOps &amp; plateformes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GCP Vertex AI (certifié PMLE) · AWS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·Azure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Modélisation quantitative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Finance de marché, gestion d'actifs, dérivés · optimisation de portefeuille · blockchain / DeFi · crypto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120" w:line="250" w:lineRule="auto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Langages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Python, Java, Matlab,  R, SQL, Solidity  </w:t>
            </w:r>
          </w:p>
          <w:p w:rsidR="00000000" w:rsidDel="00000000" w:rsidP="00000000" w:rsidRDefault="00000000" w:rsidRPr="00000000" w14:paraId="0000000E">
            <w:pPr>
              <w:spacing w:after="120" w:line="25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17324d"/>
                <w:sz w:val="17"/>
                <w:szCs w:val="17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PostgreSQL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·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Redshift ·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lasticSearch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Enseignement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AI -Data science - Software development Mathematics  - Financial Mathematics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CERTIFICATIONS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40" w:line="250" w:lineRule="auto"/>
              <w:rPr>
                <w:sz w:val="17"/>
                <w:szCs w:val="17"/>
              </w:rPr>
            </w:pPr>
            <w:hyperlink r:id="rId10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i w:val="0"/>
                  <w:iCs w:val="0"/>
                  <w:color w:val="1155cc"/>
                  <w:sz w:val="17"/>
                  <w:szCs w:val="17"/>
                  <w:u w:val="single"/>
                  <w:rtl w:val="0"/>
                </w:rPr>
                <w:t xml:space="preserve">Google Cloud — Professional Machine Learning Engineer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40" w:line="250" w:lineRule="auto"/>
              <w:rPr>
                <w:sz w:val="17"/>
                <w:szCs w:val="17"/>
              </w:rPr>
            </w:pPr>
            <w:hyperlink r:id="rId11">
              <w:r w:rsidDel="00000000" w:rsidR="00000000" w:rsidRPr="00000000">
                <w:rPr>
                  <w:color w:val="1155cc"/>
                  <w:sz w:val="17"/>
                  <w:szCs w:val="17"/>
                  <w:u w:val="single"/>
                  <w:rtl w:val="0"/>
                </w:rPr>
                <w:t xml:space="preserve">Claude Certified Architect - Foundations</w:t>
              </w:r>
            </w:hyperlink>
            <w:hyperlink r:id="rId12">
              <w:r w:rsidDel="00000000" w:rsidR="00000000" w:rsidRPr="00000000">
                <w:rPr>
                  <w:color w:val="1155cc"/>
                  <w:sz w:val="17"/>
                  <w:szCs w:val="17"/>
                  <w:u w:val="single"/>
                  <w:rtl w:val="0"/>
                </w:rPr>
                <w:t xml:space="preserve"> 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40" w:line="250" w:lineRule="auto"/>
              <w:rPr/>
            </w:pPr>
            <w:hyperlink r:id="rId13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i w:val="0"/>
                  <w:iCs w:val="0"/>
                  <w:color w:val="1155cc"/>
                  <w:sz w:val="17"/>
                  <w:szCs w:val="17"/>
                  <w:u w:val="single"/>
                  <w:rtl w:val="0"/>
                </w:rPr>
                <w:t xml:space="preserve">Certification AMF — Autorité des Marchés Financiers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LANGUES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Français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langue maternelle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Anglais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courant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Allemand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professionnel (Goethe Institut)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LIENS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40" w:line="250" w:lineRule="auto"/>
              <w:rPr/>
            </w:pPr>
            <w:hyperlink r:id="rId14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LinkedIn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5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Academia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6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GitHub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after="0" w:line="250" w:lineRule="auto"/>
              <w:rPr/>
            </w:pPr>
            <w:hyperlink r:id="rId17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Kaggle (Top 1 %)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8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SlideShare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00.0" w:type="dxa"/>
              <w:left w:w="34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bottom w:color="c77b3b" w:space="4" w:sz="12" w:val="single"/>
              </w:pBdr>
              <w:spacing w:after="13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PROFIL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20 ans à concevoir et déployer des systèmes d'IA qui tiennent en production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— applications LLM &amp; IA agentique, pipelines MLOps pour tirer de la valeur métier des données.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Expérience de bout en bout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en IA agentique, machine learning, data science, algorithmique, data analytics, économétrie, mathématiques appliquées et ingénierie logicielle — NLP par deep learning sur embeddings word2vec dès 2014.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Product manager IA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: je transforme des POC en produits en production — cadrage des cas d'usage, priorisation valeur / faisabilité, delivery et reporting.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Leader technique transverse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— quant, data scientist, ML engineer &amp; développeur : j'apporte les fondements mathématiques de l'IA moderne, pas seulement les surcouches.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4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8"/>
                <w:szCs w:val="18"/>
                <w:rtl w:val="0"/>
              </w:rPr>
              <w:t xml:space="preserve">Doctorat en mathématiques appliquées · Master statistiques · Google PMLE · Top Kaggler · enseignant ML / data science (Dauphine, EPITA, Mines de Nancy, Aivancity, Albert School).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pBdr>
                <w:bottom w:color="c77b3b" w:space="4" w:sz="12" w:val="single"/>
              </w:pBdr>
              <w:spacing w:after="130" w:before="2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EXPÉRIENCE PROFESSIONNELLE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Consultant IA / ML — Enseignant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Freelance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janv. 2024 – aujourd'hui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Lead </w:t>
            </w: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AI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— Proof of Value « IA au service de la chaîne DevOps / Data »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pour une grande banque française (via Keyrus) : intégration d'agents IA dans la CI/CD, génération de tests assistée par IA, outil automatisé de data lineage (SQLGlot / NetworkX).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 Lead AI –  PoC LLM piloting RPA </w:t>
            </w:r>
            <w:r w:rsidDel="00000000" w:rsidR="00000000" w:rsidRPr="00000000">
              <w:rPr>
                <w:rtl w:val="0"/>
              </w:rPr>
              <w:t xml:space="preserve">conception d'un agent web qui automatise la saisie multi-assureurs pour les courtiers. Il repose sur un moteur de schema matching hybride (règles, embeddings, LLM), SOM archi sur une architecture Azure souveraine.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 lead AI –  PoC pour un agent Text-to-SPARQL</w:t>
            </w:r>
            <w:r w:rsidDel="00000000" w:rsidR="00000000" w:rsidRPr="00000000">
              <w:rPr>
                <w:rtl w:val="0"/>
              </w:rPr>
              <w:t xml:space="preserve"> pour requêter une base de graphs Neptune sur AWS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Enseignement IA, data science &amp; méthodes quantitatives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prompt engineering &amp; LangChain / LangGraph (Albert School), data science, optimisation &amp; blockchain (EPITA), Python pour la finance (Master Finance, Dauphine), séries temporelles &amp; probabilités (Aivancity), analyse numérique (Mines de Nancy).</w:t>
            </w:r>
          </w:p>
          <w:p w:rsidR="00000000" w:rsidDel="00000000" w:rsidP="00000000" w:rsidRDefault="00000000" w:rsidRPr="00000000" w14:paraId="00000029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&amp; AI Engineer / Quantitative Analyst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SwissBorg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févr. 2022 – mai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Produits IA &amp; data science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chatbot RAG d'exploration de l'offre (POC → production) ; moteur de recommandation IA (POC → industrialisation) ; pricing IA de stratégies optionnelles (payoff, calibration de courbes / surfaces de volatilité / corrélations, greeks) ; moteur KYD de profilage de risque et de recommandation d'investissement.</w: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quantitative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spécifications de SwissBorg MEX (méta-agrégateur de liquidité CEX &amp; DEX) ; bots de market-making hybrides CEX/DEX (liquidité concentrée, gestion d'inventaire) ; AMC smart-beta pour institutionnels, fonds de signaux trend-following, indices sectoriels RWA, optimisation de staking &amp; yield-farming DeFi.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ML engineering &amp; DataOps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pipelines DataOps, librairies Python de backtesting, bots de trading / signaux, dashboards produits. Multi-container Docker setup built on the open-source Hummingbot framework, handling multiple pairs and venues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LangChain / LangGraph, PyTorch, Prophet, Airflow, Kafka, Redshift, Metabase, Docker, Claude Code.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Quantitative Analyst / Data Scientist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CoinShares (ex-NapoleonX)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mai 2019 – févr. 2022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Modélisation ML &amp; data science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modèles IA / data science au service des stratégies financières et de la meilleure exécution ; prévision et modélisation quantitative en Python (PyTorch, Prophet).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Gestion d'actifs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gérant délégué d'un fonds réglementé de futures bitcoin — opérations quotidiennes (NAV, rachats, roll de futures).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Ingénierie logicielle &amp; blockchain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microservices de trading crypto, rebalancing de fonds et APIs de paiement ; cryptographie appliquée (Merkle, zk-SNARK) ; smart contracts d'ICO.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Product management</w:t>
            </w: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framework de fonds autonome décentralisé (asset management on-chain) ; framework de preuve de performance / preuve d'alpha labellisé Finance Innovation.</w:t>
            </w:r>
          </w:p>
          <w:p w:rsidR="00000000" w:rsidDel="00000000" w:rsidP="00000000" w:rsidRDefault="00000000" w:rsidRPr="00000000" w14:paraId="00000035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Java / Spring Boot, Solidity, PyTorch, Prophet, Dash / Plotly, PostgreSQL, Kafka, ELK, S3, EC2, Docker.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Senior Consultant, Data Science &amp; Quantitative 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EY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nov. 2016 – mai 2019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Data science &amp; ML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feature engineering par graphes pour la détection de fraude (Neo4j) ; modèles de scoring &amp; risque de crédit (scoring, PD, LGD ; revue et validation) ; modélisation de l'abus de marché ; moteur de recherche NLP sur textes réglementaires RGPD ; open-data analytics.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Encadrement &amp; delivery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responsable formation de l'équipe data science ; product manager — mise en place de l'offre « DataLab ».</w:t>
            </w:r>
          </w:p>
          <w:p w:rsidR="00000000" w:rsidDel="00000000" w:rsidP="00000000" w:rsidRDefault="00000000" w:rsidRPr="00000000" w14:paraId="0000003A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R, Spark, Elasticsearch, Neo4j, PostgreSQL / SAS, Tableau, RShiny.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/ Quantitative Analyst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RavenPack  ·  Espagne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mai 2014 – nov. 2016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NLP par deep learning pour la finance, à l'état de l'art de l'époque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modèles de deep learning pour la classification d'événements sur embeddings word2vec — parmi les premiers à appliquer les modèles de Mikolov, une décennie avant la vague LLM.</w:t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quantitative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signaux de trading NLP actionnables sur le flux de news du Russell 2000 ; étude intraday (minute) de l'impact des news sur les actions ; prévision macro VAR / VEC (précision PIB supérieure au consensus) ; signal NLP géopolitique pour stratégies cash-and-carry ; modèles de facteurs de risque fondés sur les news.</w:t>
            </w:r>
          </w:p>
          <w:p w:rsidR="00000000" w:rsidDel="00000000" w:rsidP="00000000" w:rsidRDefault="00000000" w:rsidRPr="00000000" w14:paraId="0000003F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R, Amazon Redshift.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Consultant, Data Science &amp; Quantitative 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The MathWorks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juin 2010 – mai 2014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Référent technique de la suite financière MathWorks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— le socle de calcul numérique et de mathématiques appliquées sur lequel repose le ML d'aujourd'hui.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Modélisation statistique &amp; optimisation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optimisation de portefeuille (Black-Litterman, CVaR, MAD, risk parity, modèles factoriels à covariance shrinkée) ; pricing numérique d'options exotiques ; processus stochastiques et volatilité ; modélisation de taux (cointégration / VEC, Libor Market Model) ; backtesting de mesures de risque ; moteur ALM assurance.</w:t>
            </w:r>
          </w:p>
          <w:p w:rsidR="00000000" w:rsidDel="00000000" w:rsidP="00000000" w:rsidRDefault="00000000" w:rsidRPr="00000000" w14:paraId="00000044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MATLAB, calcul numérique haute performance (simulation Monte-Carlo sur GPU).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/ Développeur / 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Freelance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août 2006 – juin 2010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Machine learning &amp; big data — Cdiscount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ML à grande échelle sur plateforme big data distribuée, des années avant que ce soit courant ; recommandation marketing adaptative ciblée (optimisation de graphes, Spark ML / GraphX) ; classifieur NLP de qualité de pages produit ; prévision sur logs crawlés ; plateforme de crawling sémantique (Solr), orchestration Talend, graphe Neo4j ; moteur de pricing retail algorithmique.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Ingénierie quantitative &amp; trading — Société Générale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référentiel produits exotiques &amp; cycle de vie ; lead du projet CUBE Risk (pricing à la demande d'un portefeuille dérivés actions exotiques) ; pricing de dérivés exotiques.</w:t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Systèmes de trading basse latence — CACIB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plateforme de trading automatisé in-house ; application basse latence de suivi de marché &amp; gestion d'ordres ; émulation d'ordres sophistiqués, de couverture et de scénarios.</w:t>
            </w:r>
          </w:p>
          <w:p w:rsidR="00000000" w:rsidDel="00000000" w:rsidP="00000000" w:rsidRDefault="00000000" w:rsidRPr="00000000" w14:paraId="0000004A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Java, Python, Spark (ML / GraphX), Solr, Neo4j, Talend.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Ingénieur de recherche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EADS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sept. 2003 – août 2006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(en lien avec une thèse INRIA)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de la modélisation physique aux mathématiques appliquées pour la discrétisation — mécanique des fluides &amp; acoustique, éléments finis, calcul haute performance (MPI, cluster Bull). C / Fortran.</w:t>
            </w:r>
          </w:p>
          <w:p w:rsidR="00000000" w:rsidDel="00000000" w:rsidP="00000000" w:rsidRDefault="00000000" w:rsidRPr="00000000" w14:paraId="0000004E">
            <w:pPr>
              <w:pBdr>
                <w:bottom w:color="c77b3b" w:space="4" w:sz="12" w:val="single"/>
              </w:pBdr>
              <w:spacing w:after="130" w:before="2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FORMATION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Doctorat (PhD), mathématiques appliquées / physique / informatique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EADS / Université Henri Poincaré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2003 – 2006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Ingénieur civil des Mines (mathématiques appliquées)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Mines de Nancy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2000 – 2003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Master — Finance de marché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CNAM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2007 – 2008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560" w:top="680" w:left="680" w:right="7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22528"/>
        <w:sz w:val="19"/>
        <w:szCs w:val="19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9"/>
      <w:szCs w:val="19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22528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credly.com/badges/233a0f86-7a66-4920-8416-059f3f105fa7/linked_in_profile" TargetMode="External"/><Relationship Id="rId10" Type="http://schemas.openxmlformats.org/officeDocument/2006/relationships/hyperlink" Target="https://www.credly.com/badges/d45d2072-9c2c-49c2-b510-50d566a322f4/linked_in_profile" TargetMode="External"/><Relationship Id="rId13" Type="http://schemas.openxmlformats.org/officeDocument/2006/relationships/hyperlink" Target="https://sduprey.github.io/Ba_Attestation%20AMF_Stefan_DUPREY.pdf" TargetMode="External"/><Relationship Id="rId12" Type="http://schemas.openxmlformats.org/officeDocument/2006/relationships/hyperlink" Target="https://www.credly.com/badges/233a0f86-7a66-4920-8416-059f3f105fa7/linked_in_profil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duprey.github.io" TargetMode="External"/><Relationship Id="rId15" Type="http://schemas.openxmlformats.org/officeDocument/2006/relationships/hyperlink" Target="https://independent.academia.edu/StefanDuprey" TargetMode="External"/><Relationship Id="rId14" Type="http://schemas.openxmlformats.org/officeDocument/2006/relationships/hyperlink" Target="https://www.linkedin.com/in/stefan-duprey-40076b28/" TargetMode="External"/><Relationship Id="rId17" Type="http://schemas.openxmlformats.org/officeDocument/2006/relationships/hyperlink" Target="https://www.kaggle.com/elmacho" TargetMode="External"/><Relationship Id="rId16" Type="http://schemas.openxmlformats.org/officeDocument/2006/relationships/hyperlink" Target="https://github.com/sdupre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hyperlink" Target="https://fr.slideshare.net/StefanDuprey" TargetMode="External"/><Relationship Id="rId7" Type="http://schemas.openxmlformats.org/officeDocument/2006/relationships/hyperlink" Target="mailto:stefan.duprey@gmail.com" TargetMode="External"/><Relationship Id="rId8" Type="http://schemas.openxmlformats.org/officeDocument/2006/relationships/hyperlink" Target="https://www.linkedin.com/in/stefan-duprey-40076b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1XRW6ZjoRbRA583fFRZFLDQvbA==">CgMxLjA4AHIhMUd1MTAwdGdab0c0TkcteEtGVWF3SHNkblYtTUlTNDF4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2026-09-11T07:17:34.614Z</dcterms:created>
  <dc:creator>Stefan Duprey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