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40"/>
          <w:szCs w:val="40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sz w:val="22"/>
          <w:szCs w:val="22"/>
          <w:rtl w:val="0"/>
        </w:rPr>
        <w:t xml:space="preserve">Consultant Senior IA / ML  ·  Data Science &amp; Quant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cccccc" w:space="4" w:sz="4" w:val="single"/>
        </w:pBd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sz w:val="17"/>
          <w:szCs w:val="17"/>
          <w:rtl w:val="0"/>
        </w:rPr>
        <w:t xml:space="preserve">Chaville (92), Île-de-France   |   stefan.duprey@gmail.com   |   linkedin.com/in/stefanduprey   |   github.com/sduprey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PROFIL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20 ans à concevoir et déployer des systèmes d'IA qui tiennent en production — applications LLM et IA agentique, pipelines MLOps pour tirer de la valeur métier des données</w:t>
        <w:br w:type="textWrapping"/>
        <w:t xml:space="preserve">20 ans d'expérience en IA, IA agentique, machine learning, data science, algorithmique, data analytics, économétrie, mathématiques appliquées et ingénierie logicielle — NLP par deep learning sur embeddings word2vec dès 2014</w:t>
      </w:r>
    </w:p>
    <w:p w:rsidR="00000000" w:rsidDel="00000000" w:rsidP="00000000" w:rsidRDefault="00000000" w:rsidRPr="00000000" w14:paraId="00000006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Product manager IA : je transforme des POC en produits en production — cadrage des cas d'usage, priorisation valeur / faisabilité, delivery et reporting </w:t>
      </w:r>
    </w:p>
    <w:p w:rsidR="00000000" w:rsidDel="00000000" w:rsidP="00000000" w:rsidRDefault="00000000" w:rsidRPr="00000000" w14:paraId="00000007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Solide expertise en finance de marché, gestion d'actifs et assurance, autour de la Data, de l'IA et de la Blockchain</w:t>
      </w:r>
    </w:p>
    <w:p w:rsidR="00000000" w:rsidDel="00000000" w:rsidP="00000000" w:rsidRDefault="00000000" w:rsidRPr="00000000" w14:paraId="00000008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Leader technique transverse : quant, data scientist, ML engineer &amp; développeur — j'apporte les fondements mathématiques de l'IA moderne, pas seulement les surcouches</w:t>
      </w:r>
    </w:p>
    <w:p w:rsidR="00000000" w:rsidDel="00000000" w:rsidP="00000000" w:rsidRDefault="00000000" w:rsidRPr="00000000" w14:paraId="00000009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Doctorat en mathématiques appliquées / physique, Master en statistiques, Google Professional Machine Learning Engineer, Top Kaggler · Enseignant ML / data science (Dauphine, EPITA, Mines de Nancy, Aivancity, Albert School)</w:t>
      </w:r>
    </w:p>
    <w:p w:rsidR="00000000" w:rsidDel="00000000" w:rsidP="00000000" w:rsidRDefault="00000000" w:rsidRPr="00000000" w14:paraId="0000000A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COMPÉTENCES CLÉS</w:t>
      </w:r>
      <w:r w:rsidDel="00000000" w:rsidR="00000000" w:rsidRPr="00000000">
        <w:rPr>
          <w:rtl w:val="0"/>
        </w:rPr>
      </w:r>
    </w:p>
    <w:tbl>
      <w:tblPr>
        <w:tblStyle w:val="Table1"/>
        <w:tblW w:w="1010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dddddd" w:space="0" w:sz="4" w:val="single"/>
          <w:insideV w:color="000000" w:space="0" w:sz="0" w:val="nil"/>
        </w:tblBorders>
        <w:tblLayout w:type="fixed"/>
        <w:tblLook w:val="0000"/>
      </w:tblPr>
      <w:tblGrid>
        <w:gridCol w:w="2500"/>
        <w:gridCol w:w="7606"/>
        <w:tblGridChange w:id="0">
          <w:tblGrid>
            <w:gridCol w:w="2500"/>
            <w:gridCol w:w="7606"/>
          </w:tblGrid>
        </w:tblGridChange>
      </w:tblGrid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LLM, RAG, agents IA, prompt engineering · chatbots RAG et notation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GCP Vertex AI (certifié PMLE) · AWS (EC2, S3, Redshift) · Docker · Airflow · Kafka · déploiement et industrialisation de modèles (POC → production)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Languages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 &amp;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Python, Java / Spring Boot, R, SQL, Solidity · Spark · PostgreSQL / Redshift · E</w:t>
            </w: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Conception et animation de modules IA / data science — EPITA, Dauphine, Aivancity, Mines de Nancy, Albert School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Google Cloud — Professional Machine Learning Engineer</w:t>
      </w:r>
      <w:r w:rsidDel="00000000" w:rsidR="00000000" w:rsidRPr="00000000">
        <w:rPr>
          <w:rFonts w:ascii="Calibri" w:cs="Calibri" w:eastAsia="Calibri" w:hAnsi="Calibri"/>
          <w:color w:val="888888"/>
          <w:sz w:val="19"/>
          <w:szCs w:val="19"/>
          <w:rtl w:val="0"/>
        </w:rPr>
        <w:t xml:space="preserve">     ·     </w:t>
      </w: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Certification AMF (Autorité des Marchés Financiers)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EXPÉRIENCE PROFESSIONNELLE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Consultant IA / ML — Enseignant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Freelance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janv. 2024 – aujourd'hui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Lead technique — Proof of Value « IA au service de la chaîne DevOps / Data »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pour une grande banque française (via Keyrus) : intégration d'agents IA dans la CI/CD, génération de tests assistée par IA, outil automatisé de data lineage (SQLGlot / NetworkX).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Enseignement IA, data science &amp; méthodes quantitatives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Data Scientist &amp; AI Engineer / Quantitative Analyst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SwissBorg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févr. 2022 – mai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Produits IA &amp; data science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Recherche quantitative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ML engineering &amp; DataOps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pipelines DataOps, librairies Python de backtesting, bots de trading / signaux, dashboards produits.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LangChain / LangGraph, PyTorch, Prophet, Airflow, Kafka, Redshift, Metabase, Docker, Claude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Quantitative Analyst / Data Scientist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CoinShares (ex-NapoleonX)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mai 2019 – févr.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Modélisation ML &amp; data science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modèles IA / data science au service des stratégies financières et de la meilleure exécution ; prévision et modélisation quantitative en Python (PyTorch, Prophet).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Gestion d'actifs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gérant délégué d'un fonds réglementé de futures bitcoin — opérations quotidiennes (NAV, rachats, roll de futures).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Ingénierie logicielle &amp; blockchain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microservices de trading crypto, rebalancing de fonds et APIs de paiement ; cryptographie appliquée (Merkle, zk-SNARK) ; smart contracts d'ICO.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Product blockchain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framework de fonds autonome décentralisé (asset management on-chain) ; framework de preuve de performance / preuve d'alpha labellisé Finance Innovation.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Java / Spring Boot, Solidity, PyTorch, Prophet, Dash / Plotly, PostgreSQL, Kafka, ELK, S3, EC2,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Senior Consultant, Data Science &amp; Quantitative Finance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EY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nov. 2016 – mai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Data science &amp; ML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Encadrement &amp; delivery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responsable formation de l'équipe data science ; product manager — mise en place de l'offre « DataLab 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R, Spark, Elasticsearch, Neo4j, PostgreSQL / SAS, Tableau, RShiny.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Data Scientist / Quantitative Analyst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RavenPack · Espagne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mai 2014 – nov.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NLP par deep learning pour la finance, à l'état de l'art de l'époque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modèles de deep learning pour la classification d'événements sur embeddings word2vec — parmi les premiers à appliquer les modèles de Mikolov, une décennie avant la vague LLM.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Recherche quantitative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R, Amazon Redshift.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Consultant, Data Science &amp; Quantitative Finance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The MathWorks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juin 2010 – mai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Référent technique de la suite financière MathWorks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 — le socle de calcul numérique et de mathématiques appliquées sur lequel repose le ML d'aujourd'hui.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Modélisation statistique &amp; optimisation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optimisation de portefeuille (Black-Litterman, CVaR, MAD, risk parity, modèles factoriels à covariance shrinkée) — la même boîte à outils d'apprentissage statistique qui sous-tend le ML moderne ; pricing numérique d'options exotiques ; processus stochastiques et volatilité ; modélisation de taux (cointégration / VEC, Libor Market Model) ; backtesting de mesures de risque ; moteur ALM assurance.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MATLAB, calcul numérique haute performance (simulation Monte-Carlo sur GPU).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Data Scientist / Développeur / Data Engineer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Freelance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août 2006 – juin 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Machine learning &amp; big data — Cdiscount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ML à grande échelle sur plateforme big data distribuée, des années avant que ce soit courant ; recommandation marketing adaptative ciblée (optimisation de graphes, Spark ML / GraphX) ; classifieur NLP de qualité de pages produit (inférence d'attributs depuis texte libre) ; prévision sur logs crawlés ; plateforme de crawling sémantique (indexation Solr), orchestration Talend, graphe Neo4j ; moteur de pricing retail algorithmique (réajustement bid/ask).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Ingénierie quantitative &amp; trading — Société Générale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référentiel produits exotiques &amp; cycle de vie ; lead du projet CUBE Risk (pricing à la demande d'un portefeuille dérivés actions exotiques) ; pricing de dérivés exotiques.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Systèmes de trading basse latence — CACIB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plateforme de trading automatisé in-house ; application basse latence de suivi de marché &amp; gestion d'ordres ; émulation d'ordres sophistiqués, de couverture et de scénarios.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Java, Python, Spark (ML / GraphX), Solr, Neo4j, Talend.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Ingénieur de recherche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EADS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sept. 2003 – août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Recherche (en lien avec une thèse INRIA)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de la modélisation physique aux mathématiques appliquées pour la discrétisation — mécanique des fluides &amp; acoustique, éléments finis, calcul haute performance (MPI, cluster Bull). C / Fortran.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right" w:leader="none" w:pos="10106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Doctorat (PhD), mathématiques appliquées / physique / informatique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   ·   EADS / Université Henri Poincaré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2003 –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right" w:leader="none" w:pos="10106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Ingénieur civil des Mines (mathématiques appliquées)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   ·   École Nationale Supérieure des Mines de Nancy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2000 – 2003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right" w:leader="none" w:pos="10106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Master — Finance de marché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   ·   Conservatoire National des Arts et Métiers (CNAM)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2007 –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LIENS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18"/>
          <w:szCs w:val="18"/>
          <w:rtl w:val="0"/>
        </w:rPr>
        <w:t xml:space="preserve">LinkedIn</w:t>
      </w: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18"/>
          <w:szCs w:val="18"/>
          <w:rtl w:val="0"/>
        </w:rPr>
        <w:t xml:space="preserve">Publications &amp; conférences (SlideShare)</w:t>
      </w: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18"/>
          <w:szCs w:val="18"/>
          <w:rtl w:val="0"/>
        </w:rPr>
        <w:t xml:space="preserve">GitHub</w:t>
      </w: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18"/>
          <w:szCs w:val="18"/>
          <w:rtl w:val="0"/>
        </w:rPr>
        <w:t xml:space="preserve">Kaggle (Top 1 %)</w:t>
      </w: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18"/>
          <w:szCs w:val="18"/>
          <w:rtl w:val="0"/>
        </w:rPr>
        <w:t xml:space="preserve">Academia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LANGUES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Français</w:t>
      </w: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 (langue maternelle)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Anglais</w:t>
      </w: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 (courant)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Allemand</w:t>
      </w: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 (professionnel — diplôme Goethe Institut)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Chinois</w:t>
      </w: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 (élémentaire)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xJCgiW+c6ENkNfehS49O+mfP/g==">CgMxLjA4AHIhMV83YjhKV0EzUmRzS2VyUmhjWVdZdUtaWWpHYmluNmJN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2026-09-09T08:43:17.020Z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