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 · Top Kaggler · </w:t>
            </w:r>
            <w:r w:rsidDel="00000000" w:rsidR="00000000" w:rsidRPr="00000000">
              <w:rPr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Head of AI practice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Keyrus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june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202</w:t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="252.00000000000003" w:lineRule="auto"/>
              <w:ind w:left="720" w:firstLine="0"/>
              <w:rPr>
                <w:b w:val="1"/>
                <w:bCs w:val="1"/>
                <w:color w:val="17324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firstLine="0"/>
              <w:jc w:val="left"/>
              <w:rPr>
                <w:b w:val="1"/>
                <w:bCs w:val="1"/>
                <w:color w:val="17324d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Managing a team of data scientist to keep up to date with the last technological advances around AI and data science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SOM archi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pour un agent Text-to-SPARQL</w:t>
            </w:r>
            <w:r w:rsidDel="00000000" w:rsidR="00000000" w:rsidRPr="00000000">
              <w:rPr>
                <w:rtl w:val="0"/>
              </w:rPr>
              <w:t xml:space="preserve"> pour requêter une base de graphs Neptune sur AWS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Senior 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after="60" w:line="252.00000000000003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D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9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E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43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8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E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5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