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F687" w14:textId="15E43E02" w:rsidR="00725FF2" w:rsidRPr="009163F8" w:rsidRDefault="00443BDB">
      <w:pPr>
        <w:rPr>
          <w:b/>
          <w:bCs/>
        </w:rPr>
      </w:pPr>
      <w:r w:rsidRPr="009163F8">
        <w:rPr>
          <w:b/>
          <w:bCs/>
        </w:rPr>
        <w:t>OOS vs Conversion Analysis</w:t>
      </w:r>
    </w:p>
    <w:p w14:paraId="67D84595" w14:textId="461E7C3D" w:rsidR="009E4740" w:rsidRDefault="009E4740" w:rsidP="009163F8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CEFEC3" w14:textId="095B48AC" w:rsidR="003A584D" w:rsidRDefault="003A584D" w:rsidP="009163F8">
      <w:r w:rsidRPr="003A584D">
        <w:rPr>
          <w:b/>
          <w:bCs/>
        </w:rPr>
        <w:t>Note</w:t>
      </w:r>
      <w:r>
        <w:rPr>
          <w:b/>
          <w:bCs/>
        </w:rPr>
        <w:t xml:space="preserve"> 1</w:t>
      </w:r>
      <w:r w:rsidRPr="003A584D">
        <w:rPr>
          <w:b/>
          <w:bCs/>
        </w:rPr>
        <w:t>:</w:t>
      </w:r>
      <w:r>
        <w:t xml:space="preserve"> some classes were removed from the analysis for two different reasons. The first reason is due to the query to</w:t>
      </w:r>
      <w:r w:rsidRPr="003A584D">
        <w:t xml:space="preserve"> get number of units ordered</w:t>
      </w:r>
      <w:r>
        <w:t xml:space="preserve"> from the database </w:t>
      </w:r>
      <w:proofErr w:type="spellStart"/>
      <w:r w:rsidRPr="003A584D">
        <w:t>order_line_measures</w:t>
      </w:r>
      <w:proofErr w:type="spellEnd"/>
      <w:r>
        <w:t xml:space="preserve"> resulted an empty set for the classes Digital Gift Cards and Promotional Cards. The second reason is due to the ongoing adjustment of the classes Virtual Bundle, Perishable and Personalized.</w:t>
      </w:r>
    </w:p>
    <w:p w14:paraId="22121642" w14:textId="2D1D31E9" w:rsidR="003A584D" w:rsidRDefault="003A584D" w:rsidP="003A584D">
      <w:r w:rsidRPr="003A584D">
        <w:rPr>
          <w:b/>
          <w:bCs/>
        </w:rPr>
        <w:t>Note</w:t>
      </w:r>
      <w:r>
        <w:rPr>
          <w:b/>
          <w:bCs/>
        </w:rPr>
        <w:t xml:space="preserve"> 2</w:t>
      </w:r>
      <w:r w:rsidRPr="003A584D">
        <w:rPr>
          <w:b/>
          <w:bCs/>
        </w:rPr>
        <w:t>:</w:t>
      </w:r>
      <w:r>
        <w:t xml:space="preserve"> not all categories have data back till 2018. So, the individual analysis is done considering the date when they were first </w:t>
      </w:r>
      <w:r w:rsidR="00894EBA">
        <w:t>introduced,</w:t>
      </w:r>
      <w:r>
        <w:t xml:space="preserve"> and the combined analysis is done since 2018.</w:t>
      </w:r>
    </w:p>
    <w:p w14:paraId="0DFF9C0B" w14:textId="77777777" w:rsidR="003A584D" w:rsidRDefault="003A584D" w:rsidP="009163F8"/>
    <w:p w14:paraId="1A910206" w14:textId="2D0A9BFD" w:rsidR="009163F8" w:rsidRDefault="00AE53C2" w:rsidP="009163F8">
      <w:r>
        <w:t xml:space="preserve">First, we </w:t>
      </w:r>
      <w:r w:rsidR="001C2D9C">
        <w:t>investigate</w:t>
      </w:r>
      <w:r>
        <w:t xml:space="preserve"> all categories combined and then move on to the summary of each of them separately. </w:t>
      </w:r>
      <w:r w:rsidR="009163F8">
        <w:t xml:space="preserve">When we look at the </w:t>
      </w:r>
      <w:r w:rsidR="00AC5200">
        <w:t>comparison</w:t>
      </w:r>
      <w:r w:rsidR="009163F8">
        <w:t xml:space="preserve"> between the </w:t>
      </w:r>
      <w:proofErr w:type="spellStart"/>
      <w:r w:rsidR="009163F8">
        <w:t>oos</w:t>
      </w:r>
      <w:proofErr w:type="spellEnd"/>
      <w:r w:rsidR="00AC5200">
        <w:t xml:space="preserve"> </w:t>
      </w:r>
      <w:r w:rsidR="009163F8">
        <w:t>rate and conversion</w:t>
      </w:r>
      <w:r w:rsidR="00AC5200">
        <w:t xml:space="preserve"> </w:t>
      </w:r>
      <w:r w:rsidR="009163F8">
        <w:t>rate</w:t>
      </w:r>
      <w:r w:rsidR="00AC5200">
        <w:t xml:space="preserve"> time series (</w:t>
      </w:r>
      <w:r w:rsidR="00AC5200">
        <w:fldChar w:fldCharType="begin"/>
      </w:r>
      <w:r w:rsidR="00AC5200">
        <w:instrText xml:space="preserve"> REF _Ref76568526 \h </w:instrText>
      </w:r>
      <w:r w:rsidR="00AC5200">
        <w:fldChar w:fldCharType="separate"/>
      </w:r>
      <w:r w:rsidR="00AC5200">
        <w:t xml:space="preserve">Figure </w:t>
      </w:r>
      <w:r w:rsidR="00AC5200">
        <w:rPr>
          <w:noProof/>
        </w:rPr>
        <w:t>1</w:t>
      </w:r>
      <w:r w:rsidR="00AC5200">
        <w:fldChar w:fldCharType="end"/>
      </w:r>
      <w:r w:rsidR="00AC5200">
        <w:t xml:space="preserve">), we see a significant increase in the </w:t>
      </w:r>
      <w:proofErr w:type="spellStart"/>
      <w:r w:rsidR="00AC5200">
        <w:t>oos</w:t>
      </w:r>
      <w:proofErr w:type="spellEnd"/>
      <w:r w:rsidR="00AC5200">
        <w:t xml:space="preserve"> rate in the beginning of 2020. However, we do not observe as much of a steep drop in the conversion rate. </w:t>
      </w:r>
      <w:r w:rsidR="003A584D">
        <w:t xml:space="preserve">This already shows some indication that the </w:t>
      </w:r>
      <w:proofErr w:type="spellStart"/>
      <w:r w:rsidR="003A584D">
        <w:t>oos</w:t>
      </w:r>
      <w:proofErr w:type="spellEnd"/>
      <w:r w:rsidR="003A584D">
        <w:t xml:space="preserve"> rate impact on conversion rate might not be high. </w:t>
      </w:r>
      <w:r w:rsidR="00AC5200">
        <w:t xml:space="preserve">We also observe from the figure a possible outlier in the conversion rate at 09/09/2019. A point in the </w:t>
      </w:r>
      <w:proofErr w:type="spellStart"/>
      <w:r w:rsidR="00AC5200">
        <w:t>oos</w:t>
      </w:r>
      <w:proofErr w:type="spellEnd"/>
      <w:r w:rsidR="00AC5200">
        <w:t xml:space="preserve"> rate series also stands out</w:t>
      </w:r>
      <w:r w:rsidR="001A3A13">
        <w:t xml:space="preserve"> (12/31/2018)</w:t>
      </w:r>
      <w:r w:rsidR="00AC5200">
        <w:t>, but not as by much</w:t>
      </w:r>
      <w:r w:rsidR="001A3A13">
        <w:t xml:space="preserve"> from the other records</w:t>
      </w:r>
      <w:r w:rsidR="00AC5200">
        <w:t xml:space="preserve"> as in the conversion rate</w:t>
      </w:r>
      <w:r w:rsidR="001A3A13">
        <w:t xml:space="preserve"> case.</w:t>
      </w:r>
    </w:p>
    <w:p w14:paraId="58F73E57" w14:textId="201F75F6" w:rsidR="00AC5200" w:rsidRDefault="00AC5200" w:rsidP="009163F8"/>
    <w:p w14:paraId="5A22C24D" w14:textId="77777777" w:rsidR="00AC5200" w:rsidRDefault="00AC5200" w:rsidP="00AC5200">
      <w:pPr>
        <w:keepNext/>
      </w:pPr>
      <w:r>
        <w:rPr>
          <w:noProof/>
        </w:rPr>
        <w:drawing>
          <wp:inline distT="0" distB="0" distL="0" distR="0" wp14:anchorId="3F544E2C" wp14:editId="06CBD0B3">
            <wp:extent cx="5943600" cy="2242185"/>
            <wp:effectExtent l="0" t="0" r="0" b="571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67C" w14:textId="7716D0EE" w:rsidR="00AC5200" w:rsidRDefault="00AC5200" w:rsidP="003A584D">
      <w:pPr>
        <w:pStyle w:val="Caption"/>
        <w:jc w:val="center"/>
      </w:pPr>
      <w:bookmarkStart w:id="0" w:name="_Ref76568526"/>
      <w:r>
        <w:t xml:space="preserve">Figure </w:t>
      </w:r>
      <w:fldSimple w:instr=" SEQ Figure \* ARABIC ">
        <w:r w:rsidR="000F3CE5">
          <w:rPr>
            <w:noProof/>
          </w:rPr>
          <w:t>1</w:t>
        </w:r>
      </w:fldSimple>
      <w:bookmarkEnd w:id="0"/>
      <w:r>
        <w:t xml:space="preserve"> - Conversion rate and </w:t>
      </w:r>
      <w:proofErr w:type="spellStart"/>
      <w:r>
        <w:t>oos</w:t>
      </w:r>
      <w:proofErr w:type="spellEnd"/>
      <w:r>
        <w:t xml:space="preserve"> rate throughout time for all classes</w:t>
      </w:r>
    </w:p>
    <w:p w14:paraId="342926C5" w14:textId="502E44A9" w:rsidR="0032306B" w:rsidRDefault="003A584D" w:rsidP="0032306B">
      <w:r>
        <w:t xml:space="preserve">If we observe the relationship between </w:t>
      </w:r>
      <w:r w:rsidR="003C3CC5">
        <w:t xml:space="preserve">conversion rate and </w:t>
      </w:r>
      <w:proofErr w:type="spellStart"/>
      <w:r w:rsidR="003C3CC5">
        <w:t>oos</w:t>
      </w:r>
      <w:proofErr w:type="spellEnd"/>
      <w:r w:rsidR="003C3CC5">
        <w:t xml:space="preserve"> rate a bit more closely (</w:t>
      </w:r>
      <w:r w:rsidR="003C3CC5">
        <w:fldChar w:fldCharType="begin"/>
      </w:r>
      <w:r w:rsidR="003C3CC5">
        <w:instrText xml:space="preserve"> REF _Ref76572577 \h </w:instrText>
      </w:r>
      <w:r w:rsidR="003C3CC5">
        <w:fldChar w:fldCharType="separate"/>
      </w:r>
      <w:r w:rsidR="003C3CC5">
        <w:t xml:space="preserve">Figure </w:t>
      </w:r>
      <w:r w:rsidR="003C3CC5">
        <w:rPr>
          <w:noProof/>
        </w:rPr>
        <w:t>2</w:t>
      </w:r>
      <w:r w:rsidR="003C3CC5">
        <w:fldChar w:fldCharType="end"/>
      </w:r>
      <w:r w:rsidR="003C3CC5">
        <w:t>), we see</w:t>
      </w:r>
      <w:r w:rsidR="00211359">
        <w:t xml:space="preserve"> that when we remove the outlier, there is a negative relationship between the two variables. This negative relationship is also shown in the correlation matrix (</w:t>
      </w:r>
      <w:r w:rsidR="00211359">
        <w:fldChar w:fldCharType="begin"/>
      </w:r>
      <w:r w:rsidR="00211359">
        <w:instrText xml:space="preserve"> REF _Ref76630812 \h </w:instrText>
      </w:r>
      <w:r w:rsidR="00211359">
        <w:fldChar w:fldCharType="separate"/>
      </w:r>
      <w:r w:rsidR="00211359">
        <w:t xml:space="preserve">Figure </w:t>
      </w:r>
      <w:r w:rsidR="00211359">
        <w:rPr>
          <w:noProof/>
        </w:rPr>
        <w:t>3</w:t>
      </w:r>
      <w:r w:rsidR="00211359">
        <w:fldChar w:fldCharType="end"/>
      </w:r>
      <w:r w:rsidR="00211359">
        <w:t xml:space="preserve">). The observed spearman correlation can be considerate medium to strong, which indicates we need to investigate this relationship more </w:t>
      </w:r>
      <w:proofErr w:type="spellStart"/>
      <w:r w:rsidR="00211359">
        <w:t>thorouglhy</w:t>
      </w:r>
      <w:proofErr w:type="spellEnd"/>
      <w:r w:rsidR="00211359">
        <w:t>.</w:t>
      </w:r>
    </w:p>
    <w:p w14:paraId="58D17B13" w14:textId="776B7751" w:rsidR="000063D0" w:rsidRDefault="000063D0" w:rsidP="0032306B"/>
    <w:p w14:paraId="73DB7DCE" w14:textId="77777777" w:rsidR="000063D0" w:rsidRDefault="000063D0" w:rsidP="000063D0">
      <w:pPr>
        <w:keepNext/>
      </w:pPr>
      <w:r>
        <w:rPr>
          <w:noProof/>
        </w:rPr>
        <w:lastRenderedPageBreak/>
        <w:drawing>
          <wp:inline distT="0" distB="0" distL="0" distR="0" wp14:anchorId="4C561F39" wp14:editId="19F96F94">
            <wp:extent cx="2834640" cy="1589943"/>
            <wp:effectExtent l="0" t="0" r="0" b="0"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5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14512" wp14:editId="457CD63D">
            <wp:extent cx="3017520" cy="1599673"/>
            <wp:effectExtent l="0" t="0" r="5080" b="635"/>
            <wp:docPr id="30" name="Picture 3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EBE3" w14:textId="7ED53FDA" w:rsidR="001A3A13" w:rsidRDefault="000063D0" w:rsidP="003A584D">
      <w:pPr>
        <w:pStyle w:val="Caption"/>
        <w:jc w:val="center"/>
      </w:pPr>
      <w:bookmarkStart w:id="1" w:name="_Ref76572577"/>
      <w:r>
        <w:t xml:space="preserve">Figure </w:t>
      </w:r>
      <w:fldSimple w:instr=" SEQ Figure \* ARABIC ">
        <w:r w:rsidR="000F3CE5">
          <w:rPr>
            <w:noProof/>
          </w:rPr>
          <w:t>2</w:t>
        </w:r>
      </w:fldSimple>
      <w:bookmarkEnd w:id="1"/>
      <w:r>
        <w:t xml:space="preserve"> – Relationship between Conversion Rate and OOS rate with the outlier (a) and without the outlier (b)</w:t>
      </w:r>
    </w:p>
    <w:p w14:paraId="3C1506A4" w14:textId="77777777" w:rsidR="00211359" w:rsidRDefault="00211359" w:rsidP="00211359">
      <w:pPr>
        <w:keepNext/>
        <w:jc w:val="center"/>
      </w:pPr>
      <w:r>
        <w:rPr>
          <w:noProof/>
        </w:rPr>
        <w:drawing>
          <wp:inline distT="0" distB="0" distL="0" distR="0" wp14:anchorId="4FF31C48" wp14:editId="34C4D2E8">
            <wp:extent cx="4389120" cy="1988706"/>
            <wp:effectExtent l="0" t="0" r="0" b="5715"/>
            <wp:docPr id="32" name="Picture 3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9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4D4B" w14:textId="33F91A6F" w:rsidR="000063D0" w:rsidRDefault="00211359" w:rsidP="00211359">
      <w:pPr>
        <w:pStyle w:val="Caption"/>
        <w:jc w:val="center"/>
      </w:pPr>
      <w:bookmarkStart w:id="2" w:name="_Ref76630812"/>
      <w:r>
        <w:t xml:space="preserve">Figure </w:t>
      </w:r>
      <w:fldSimple w:instr=" SEQ Figure \* ARABIC ">
        <w:r w:rsidR="000F3CE5">
          <w:rPr>
            <w:noProof/>
          </w:rPr>
          <w:t>3</w:t>
        </w:r>
      </w:fldSimple>
      <w:bookmarkEnd w:id="2"/>
      <w:r>
        <w:t xml:space="preserve"> – Correlation Matrix of All Variables</w:t>
      </w:r>
    </w:p>
    <w:p w14:paraId="0858CC65" w14:textId="67D7DA15" w:rsidR="00211359" w:rsidRDefault="00211359" w:rsidP="00211359">
      <w:r>
        <w:t xml:space="preserve">We run a simple OLS regression to </w:t>
      </w:r>
      <w:r w:rsidR="00106D23">
        <w:t xml:space="preserve">check the possible effects of the </w:t>
      </w:r>
      <w:proofErr w:type="spellStart"/>
      <w:r w:rsidR="00106D23">
        <w:t>oos</w:t>
      </w:r>
      <w:proofErr w:type="spellEnd"/>
      <w:r w:rsidR="00106D23">
        <w:t xml:space="preserve"> rate in the conversion rate. However, we see a strong positive correlation between </w:t>
      </w:r>
      <w:proofErr w:type="spellStart"/>
      <w:r w:rsidR="00106D23">
        <w:t>oos</w:t>
      </w:r>
      <w:proofErr w:type="spellEnd"/>
      <w:r w:rsidR="00106D23">
        <w:t xml:space="preserve"> rate and total page views and total ordered quantity, which does not follow the expected assumption that it would be negatively correlated. We see from </w:t>
      </w:r>
      <w:r w:rsidR="00106D23">
        <w:fldChar w:fldCharType="begin"/>
      </w:r>
      <w:r w:rsidR="00106D23">
        <w:instrText xml:space="preserve"> REF _Ref76631097 \h </w:instrText>
      </w:r>
      <w:r w:rsidR="00106D23">
        <w:fldChar w:fldCharType="separate"/>
      </w:r>
      <w:r w:rsidR="00106D23">
        <w:t xml:space="preserve">Table </w:t>
      </w:r>
      <w:r w:rsidR="00106D23">
        <w:rPr>
          <w:noProof/>
        </w:rPr>
        <w:t>1</w:t>
      </w:r>
      <w:r w:rsidR="00106D23">
        <w:fldChar w:fldCharType="end"/>
      </w:r>
      <w:r w:rsidR="00106D23">
        <w:t xml:space="preserve"> and </w:t>
      </w:r>
      <w:r w:rsidR="00106D23">
        <w:fldChar w:fldCharType="begin"/>
      </w:r>
      <w:r w:rsidR="00106D23">
        <w:instrText xml:space="preserve"> REF _Ref76631128 \h </w:instrText>
      </w:r>
      <w:r w:rsidR="00106D23">
        <w:fldChar w:fldCharType="separate"/>
      </w:r>
      <w:r w:rsidR="00106D23">
        <w:t xml:space="preserve">Figure </w:t>
      </w:r>
      <w:r w:rsidR="00106D23">
        <w:rPr>
          <w:noProof/>
        </w:rPr>
        <w:t>4</w:t>
      </w:r>
      <w:r w:rsidR="00106D23">
        <w:fldChar w:fldCharType="end"/>
      </w:r>
      <w:r w:rsidR="00106D23">
        <w:t xml:space="preserve"> that, even though the R-squared is low, the </w:t>
      </w:r>
      <w:proofErr w:type="spellStart"/>
      <w:r w:rsidR="00106D23">
        <w:t>oos</w:t>
      </w:r>
      <w:proofErr w:type="spellEnd"/>
      <w:r w:rsidR="00106D23">
        <w:t xml:space="preserve"> rate presents a significant effect on the conversion rate values. </w:t>
      </w:r>
    </w:p>
    <w:p w14:paraId="3BC3CBFA" w14:textId="77777777" w:rsidR="00106D23" w:rsidRPr="00211359" w:rsidRDefault="00106D23" w:rsidP="00211359"/>
    <w:p w14:paraId="3B6BB5FD" w14:textId="597B2DF2" w:rsidR="00106D23" w:rsidRDefault="00106D23" w:rsidP="00106D23">
      <w:pPr>
        <w:pStyle w:val="Caption"/>
        <w:keepNext/>
      </w:pPr>
      <w:bookmarkStart w:id="3" w:name="_Ref76631097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3"/>
      <w:r>
        <w:t xml:space="preserve"> – OLS Regression Results</w:t>
      </w:r>
    </w:p>
    <w:p w14:paraId="64A51D9A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==============================================================================</w:t>
      </w:r>
    </w:p>
    <w:p w14:paraId="2D6D77E9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 xml:space="preserve">Dep. Variable:        </w:t>
      </w:r>
      <w:proofErr w:type="spellStart"/>
      <w:r w:rsidRPr="000063D0">
        <w:rPr>
          <w:rFonts w:ascii="Courier" w:hAnsi="Courier"/>
          <w:sz w:val="18"/>
          <w:szCs w:val="18"/>
        </w:rPr>
        <w:t>conversion_rate</w:t>
      </w:r>
      <w:proofErr w:type="spellEnd"/>
      <w:r w:rsidRPr="000063D0">
        <w:rPr>
          <w:rFonts w:ascii="Courier" w:hAnsi="Courier"/>
          <w:sz w:val="18"/>
          <w:szCs w:val="18"/>
        </w:rPr>
        <w:t xml:space="preserve">   R-squared:                       </w:t>
      </w:r>
      <w:r w:rsidRPr="000063D0">
        <w:rPr>
          <w:rFonts w:ascii="Courier" w:hAnsi="Courier"/>
          <w:sz w:val="18"/>
          <w:szCs w:val="18"/>
          <w:highlight w:val="yellow"/>
        </w:rPr>
        <w:t>0.118</w:t>
      </w:r>
    </w:p>
    <w:p w14:paraId="5B9DECC0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Model:                            OLS   Adj. R-squared:                  0.113</w:t>
      </w:r>
    </w:p>
    <w:p w14:paraId="54906A0D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Method:                 Least Squares   F-statistic:                     20.55</w:t>
      </w:r>
    </w:p>
    <w:p w14:paraId="43414891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Date:                Wed, 07 Jul 2021   Prob (F-statistic):           1.16e-05</w:t>
      </w:r>
    </w:p>
    <w:p w14:paraId="3A89C655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Time:                        17:35:07   Log-Likelihood:                 211.25</w:t>
      </w:r>
    </w:p>
    <w:p w14:paraId="528A74AF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No. Observations:                 155   AIC:                            -418.5</w:t>
      </w:r>
    </w:p>
    <w:p w14:paraId="24AB3431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Df Residuals:                     153   BIC:                            -412.4</w:t>
      </w:r>
    </w:p>
    <w:p w14:paraId="56FE14BD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 xml:space="preserve">Df Model:                           1                                         </w:t>
      </w:r>
    </w:p>
    <w:p w14:paraId="6C6E87CD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 xml:space="preserve">Covariance Type:            </w:t>
      </w:r>
      <w:proofErr w:type="spellStart"/>
      <w:r w:rsidRPr="000063D0">
        <w:rPr>
          <w:rFonts w:ascii="Courier" w:hAnsi="Courier"/>
          <w:sz w:val="18"/>
          <w:szCs w:val="18"/>
        </w:rPr>
        <w:t>nonrobust</w:t>
      </w:r>
      <w:proofErr w:type="spellEnd"/>
      <w:r w:rsidRPr="000063D0">
        <w:rPr>
          <w:rFonts w:ascii="Courier" w:hAnsi="Courier"/>
          <w:sz w:val="18"/>
          <w:szCs w:val="18"/>
        </w:rPr>
        <w:t xml:space="preserve">                                         </w:t>
      </w:r>
    </w:p>
    <w:p w14:paraId="675CA7F3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==============================================================================</w:t>
      </w:r>
    </w:p>
    <w:p w14:paraId="68A40571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 xml:space="preserve">                 </w:t>
      </w:r>
      <w:proofErr w:type="spellStart"/>
      <w:r w:rsidRPr="000063D0">
        <w:rPr>
          <w:rFonts w:ascii="Courier" w:hAnsi="Courier"/>
          <w:sz w:val="18"/>
          <w:szCs w:val="18"/>
        </w:rPr>
        <w:t>coef</w:t>
      </w:r>
      <w:proofErr w:type="spellEnd"/>
      <w:r w:rsidRPr="000063D0">
        <w:rPr>
          <w:rFonts w:ascii="Courier" w:hAnsi="Courier"/>
          <w:sz w:val="18"/>
          <w:szCs w:val="18"/>
        </w:rPr>
        <w:t xml:space="preserve">    std err          t      P&gt;|t|      [0.025      0.975]</w:t>
      </w:r>
    </w:p>
    <w:p w14:paraId="7771BD07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616DB4D8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Intercept      0.4545      0.010     43.591      0.000       0.434       0.475</w:t>
      </w:r>
    </w:p>
    <w:p w14:paraId="48BFB3AF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proofErr w:type="spellStart"/>
      <w:r w:rsidRPr="000063D0">
        <w:rPr>
          <w:rFonts w:ascii="Courier" w:hAnsi="Courier"/>
          <w:sz w:val="18"/>
          <w:szCs w:val="18"/>
        </w:rPr>
        <w:t>oos_rate</w:t>
      </w:r>
      <w:proofErr w:type="spellEnd"/>
      <w:r w:rsidRPr="000063D0">
        <w:rPr>
          <w:rFonts w:ascii="Courier" w:hAnsi="Courier"/>
          <w:sz w:val="18"/>
          <w:szCs w:val="18"/>
        </w:rPr>
        <w:t xml:space="preserve">      </w:t>
      </w:r>
      <w:r w:rsidRPr="000063D0">
        <w:rPr>
          <w:rFonts w:ascii="Courier" w:hAnsi="Courier"/>
          <w:sz w:val="18"/>
          <w:szCs w:val="18"/>
          <w:highlight w:val="yellow"/>
        </w:rPr>
        <w:t>-0.7140</w:t>
      </w:r>
      <w:r w:rsidRPr="000063D0">
        <w:rPr>
          <w:rFonts w:ascii="Courier" w:hAnsi="Courier"/>
          <w:sz w:val="18"/>
          <w:szCs w:val="18"/>
        </w:rPr>
        <w:t xml:space="preserve">      0.157     -4.533      </w:t>
      </w:r>
      <w:r w:rsidRPr="000063D0">
        <w:rPr>
          <w:rFonts w:ascii="Courier" w:hAnsi="Courier"/>
          <w:sz w:val="18"/>
          <w:szCs w:val="18"/>
          <w:highlight w:val="yellow"/>
        </w:rPr>
        <w:t>0.000</w:t>
      </w:r>
      <w:r w:rsidRPr="000063D0">
        <w:rPr>
          <w:rFonts w:ascii="Courier" w:hAnsi="Courier"/>
          <w:sz w:val="18"/>
          <w:szCs w:val="18"/>
        </w:rPr>
        <w:t xml:space="preserve">      -1.025      -0.403</w:t>
      </w:r>
    </w:p>
    <w:p w14:paraId="7D5D2C05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==============================================================================</w:t>
      </w:r>
    </w:p>
    <w:p w14:paraId="7A6EA7C9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Omnibus:                       42.712   Durbin-Watson:                   0.960</w:t>
      </w:r>
    </w:p>
    <w:p w14:paraId="0227C07C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 xml:space="preserve">Prob(Omnibus):                  0.000   </w:t>
      </w:r>
      <w:proofErr w:type="spellStart"/>
      <w:r w:rsidRPr="000063D0">
        <w:rPr>
          <w:rFonts w:ascii="Courier" w:hAnsi="Courier"/>
          <w:sz w:val="18"/>
          <w:szCs w:val="18"/>
        </w:rPr>
        <w:t>Jarque-Bera</w:t>
      </w:r>
      <w:proofErr w:type="spellEnd"/>
      <w:r w:rsidRPr="000063D0">
        <w:rPr>
          <w:rFonts w:ascii="Courier" w:hAnsi="Courier"/>
          <w:sz w:val="18"/>
          <w:szCs w:val="18"/>
        </w:rPr>
        <w:t xml:space="preserve"> (JB):              266.407</w:t>
      </w:r>
    </w:p>
    <w:p w14:paraId="4A100F44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Skew:                          -0.765   Prob(JB):                     1.41e-58</w:t>
      </w:r>
    </w:p>
    <w:p w14:paraId="652682B6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Kurtosis:                       9.238   Cond. No.                         31.6</w:t>
      </w:r>
    </w:p>
    <w:p w14:paraId="11717D40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==============================================================================</w:t>
      </w:r>
    </w:p>
    <w:p w14:paraId="49DEC0C3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</w:p>
    <w:p w14:paraId="0195E1BE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Notes:</w:t>
      </w:r>
    </w:p>
    <w:p w14:paraId="6E01F4E3" w14:textId="77777777" w:rsidR="000063D0" w:rsidRPr="000063D0" w:rsidRDefault="000063D0" w:rsidP="000063D0">
      <w:pPr>
        <w:pStyle w:val="HTMLPreformatted"/>
        <w:shd w:val="clear" w:color="auto" w:fill="FFFFFF"/>
        <w:wordWrap w:val="0"/>
        <w:rPr>
          <w:rFonts w:ascii="Courier" w:hAnsi="Courier"/>
          <w:sz w:val="18"/>
          <w:szCs w:val="18"/>
        </w:rPr>
      </w:pPr>
      <w:r w:rsidRPr="000063D0">
        <w:rPr>
          <w:rFonts w:ascii="Courier" w:hAnsi="Courier"/>
          <w:sz w:val="18"/>
          <w:szCs w:val="18"/>
        </w:rPr>
        <w:t>[1] Standard Errors assume that the covariance matrix of the errors is correctly specified.</w:t>
      </w:r>
    </w:p>
    <w:p w14:paraId="49415BC4" w14:textId="2220C699" w:rsidR="000063D0" w:rsidRDefault="000063D0" w:rsidP="000063D0"/>
    <w:p w14:paraId="158C893D" w14:textId="77777777" w:rsidR="003A584D" w:rsidRDefault="003A584D" w:rsidP="003A584D">
      <w:pPr>
        <w:keepNext/>
        <w:jc w:val="center"/>
      </w:pPr>
      <w:r>
        <w:rPr>
          <w:noProof/>
        </w:rPr>
        <w:drawing>
          <wp:inline distT="0" distB="0" distL="0" distR="0" wp14:anchorId="4C3352F7" wp14:editId="30E60206">
            <wp:extent cx="4572000" cy="4547575"/>
            <wp:effectExtent l="0" t="0" r="0" b="0"/>
            <wp:docPr id="31" name="Picture 3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A622" w14:textId="486D1654" w:rsidR="003A584D" w:rsidRDefault="003A584D" w:rsidP="003A584D">
      <w:pPr>
        <w:pStyle w:val="Caption"/>
        <w:jc w:val="center"/>
      </w:pPr>
      <w:bookmarkStart w:id="4" w:name="_Ref76631128"/>
      <w:bookmarkStart w:id="5" w:name="_Ref76631114"/>
      <w:r>
        <w:t xml:space="preserve">Figure </w:t>
      </w:r>
      <w:fldSimple w:instr=" SEQ Figure \* ARABIC ">
        <w:r w:rsidR="000F3CE5">
          <w:rPr>
            <w:noProof/>
          </w:rPr>
          <w:t>4</w:t>
        </w:r>
      </w:fldSimple>
      <w:bookmarkEnd w:id="4"/>
      <w:r>
        <w:t xml:space="preserve"> – Regression results plots</w:t>
      </w:r>
      <w:bookmarkEnd w:id="5"/>
    </w:p>
    <w:p w14:paraId="1C80E108" w14:textId="56FFE468" w:rsidR="000F3CE5" w:rsidRDefault="003A584D" w:rsidP="000063D0">
      <w:r>
        <w:t>The same analysis was performed for each class</w:t>
      </w:r>
      <w:r w:rsidR="00106D23">
        <w:t xml:space="preserve"> separately</w:t>
      </w:r>
      <w:r>
        <w:t>.</w:t>
      </w:r>
      <w:r w:rsidR="00106D23">
        <w:t xml:space="preserve"> </w:t>
      </w:r>
      <w:r w:rsidR="00106D23">
        <w:fldChar w:fldCharType="begin"/>
      </w:r>
      <w:r w:rsidR="00106D23">
        <w:instrText xml:space="preserve"> REF _Ref76631505 \h </w:instrText>
      </w:r>
      <w:r w:rsidR="00106D23">
        <w:fldChar w:fldCharType="separate"/>
      </w:r>
      <w:r w:rsidR="00106D23">
        <w:t xml:space="preserve">Table </w:t>
      </w:r>
      <w:r w:rsidR="00106D23">
        <w:rPr>
          <w:noProof/>
        </w:rPr>
        <w:t>2</w:t>
      </w:r>
      <w:r w:rsidR="00106D23">
        <w:fldChar w:fldCharType="end"/>
      </w:r>
      <w:r w:rsidR="00106D23">
        <w:t xml:space="preserve"> shows the summary of these analys</w:t>
      </w:r>
      <w:r w:rsidR="00F1721D">
        <w:t>e</w:t>
      </w:r>
      <w:r w:rsidR="00106D23">
        <w:t xml:space="preserve">s. We see that </w:t>
      </w:r>
      <w:r w:rsidR="00F1721D">
        <w:t xml:space="preserve">most of the classes that present statistically significant effect of the </w:t>
      </w:r>
      <w:proofErr w:type="spellStart"/>
      <w:r w:rsidR="00F1721D">
        <w:t>oos</w:t>
      </w:r>
      <w:proofErr w:type="spellEnd"/>
      <w:r w:rsidR="00F1721D">
        <w:t xml:space="preserve"> rate on the conversion rate have relatively smaller except for </w:t>
      </w:r>
      <w:r w:rsidR="00F1721D" w:rsidRPr="00F1721D">
        <w:t>Leashes, Collars &amp; Bowls</w:t>
      </w:r>
      <w:r w:rsidR="00F1721D">
        <w:t xml:space="preserve"> and </w:t>
      </w:r>
      <w:r w:rsidR="00F1721D" w:rsidRPr="00F1721D">
        <w:t>Health &amp; Wellness</w:t>
      </w:r>
      <w:r w:rsidR="00F1721D">
        <w:t xml:space="preserve">. However, they still have higher p-value, closer to the alpha value (0.05). One observation to be made is that the Over the Counter class had a steep increase in </w:t>
      </w:r>
      <w:proofErr w:type="spellStart"/>
      <w:r w:rsidR="00F1721D">
        <w:t>oos</w:t>
      </w:r>
      <w:proofErr w:type="spellEnd"/>
      <w:r w:rsidR="00F1721D">
        <w:t xml:space="preserve"> rate and </w:t>
      </w:r>
      <w:r w:rsidR="000F3CE5">
        <w:t>decrease in conversion rate in the first months of the COVID-19 pandemic, and it continued with the same pattern (</w:t>
      </w:r>
      <w:r w:rsidR="000F3CE5">
        <w:fldChar w:fldCharType="begin"/>
      </w:r>
      <w:r w:rsidR="000F3CE5">
        <w:instrText xml:space="preserve"> REF _Ref76632483 \h </w:instrText>
      </w:r>
      <w:r w:rsidR="000F3CE5">
        <w:fldChar w:fldCharType="separate"/>
      </w:r>
      <w:r w:rsidR="000F3CE5">
        <w:t xml:space="preserve">Figure </w:t>
      </w:r>
      <w:r w:rsidR="000F3CE5">
        <w:rPr>
          <w:noProof/>
        </w:rPr>
        <w:t>5</w:t>
      </w:r>
      <w:r w:rsidR="000F3CE5">
        <w:fldChar w:fldCharType="end"/>
      </w:r>
      <w:r w:rsidR="000F3CE5">
        <w:t xml:space="preserve">). This might be due to some change in </w:t>
      </w:r>
      <w:proofErr w:type="spellStart"/>
      <w:r w:rsidR="000F3CE5">
        <w:t>Chewy’s</w:t>
      </w:r>
      <w:proofErr w:type="spellEnd"/>
      <w:r w:rsidR="000F3CE5">
        <w:t xml:space="preserve"> approach to the category. </w:t>
      </w:r>
    </w:p>
    <w:p w14:paraId="04984C46" w14:textId="77777777" w:rsidR="000F3CE5" w:rsidRDefault="000F3CE5" w:rsidP="000F3C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E4EF0E" wp14:editId="3603B30B">
            <wp:extent cx="4572000" cy="1948476"/>
            <wp:effectExtent l="0" t="0" r="0" b="0"/>
            <wp:docPr id="33" name="Picture 3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6F6B" w14:textId="46F889AF" w:rsidR="003A584D" w:rsidRPr="000063D0" w:rsidRDefault="000F3CE5" w:rsidP="000F3CE5">
      <w:pPr>
        <w:pStyle w:val="Caption"/>
        <w:jc w:val="center"/>
      </w:pPr>
      <w:bookmarkStart w:id="6" w:name="_Ref76632483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6"/>
      <w:r>
        <w:t xml:space="preserve"> – Conversion Rate and OOS Rate for “Over the Counter” throughout time</w:t>
      </w:r>
    </w:p>
    <w:p w14:paraId="3D89B242" w14:textId="1427873D" w:rsidR="0032306B" w:rsidRDefault="0032306B" w:rsidP="0032306B">
      <w:pPr>
        <w:pStyle w:val="Caption"/>
        <w:keepNext/>
      </w:pPr>
      <w:bookmarkStart w:id="7" w:name="_Ref76631505"/>
      <w:r>
        <w:t xml:space="preserve">Table </w:t>
      </w:r>
      <w:fldSimple w:instr=" SEQ Table \* ARABIC ">
        <w:r w:rsidR="00106D23">
          <w:rPr>
            <w:noProof/>
          </w:rPr>
          <w:t>2</w:t>
        </w:r>
      </w:fldSimple>
      <w:bookmarkEnd w:id="7"/>
      <w:r>
        <w:t xml:space="preserve"> – Summary of </w:t>
      </w:r>
      <w:r w:rsidR="000063D0">
        <w:t>the Regression results for each class</w:t>
      </w:r>
    </w:p>
    <w:tbl>
      <w:tblPr>
        <w:tblW w:w="9725" w:type="dxa"/>
        <w:tblLook w:val="04A0" w:firstRow="1" w:lastRow="0" w:firstColumn="1" w:lastColumn="0" w:noHBand="0" w:noVBand="1"/>
      </w:tblPr>
      <w:tblGrid>
        <w:gridCol w:w="1975"/>
        <w:gridCol w:w="1292"/>
        <w:gridCol w:w="1800"/>
        <w:gridCol w:w="718"/>
        <w:gridCol w:w="1161"/>
        <w:gridCol w:w="1006"/>
        <w:gridCol w:w="895"/>
        <w:gridCol w:w="878"/>
      </w:tblGrid>
      <w:tr w:rsidR="003C3CC5" w:rsidRPr="000F3CE5" w14:paraId="0F9EA591" w14:textId="77777777" w:rsidTr="003C3CC5">
        <w:trPr>
          <w:trHeight w:val="300"/>
        </w:trPr>
        <w:tc>
          <w:tcPr>
            <w:tcW w:w="1975" w:type="dxa"/>
            <w:tcBorders>
              <w:top w:val="single" w:sz="24" w:space="0" w:color="000000" w:themeColor="text1"/>
              <w:left w:val="single" w:sz="4" w:space="0" w:color="FFFFFF"/>
              <w:bottom w:val="single" w:sz="2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4C531C50" w14:textId="77777777" w:rsidR="003C3CC5" w:rsidRPr="0032306B" w:rsidRDefault="003C3CC5" w:rsidP="003C3CC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mc2</w:t>
            </w:r>
          </w:p>
        </w:tc>
        <w:tc>
          <w:tcPr>
            <w:tcW w:w="1292" w:type="dxa"/>
            <w:tcBorders>
              <w:top w:val="single" w:sz="24" w:space="0" w:color="000000" w:themeColor="text1"/>
              <w:left w:val="single" w:sz="4" w:space="0" w:color="FFFFFF"/>
              <w:bottom w:val="single" w:sz="24" w:space="0" w:color="000000" w:themeColor="text1"/>
              <w:right w:val="single" w:sz="4" w:space="0" w:color="FFFFFF"/>
            </w:tcBorders>
          </w:tcPr>
          <w:p w14:paraId="546BDE21" w14:textId="71D2A6CB" w:rsidR="003C3CC5" w:rsidRPr="000F3CE5" w:rsidRDefault="003C3CC5" w:rsidP="003C3CC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F3CE5">
              <w:rPr>
                <w:rFonts w:ascii="Calibri" w:hAnsi="Calibri" w:cs="Calibri"/>
                <w:b/>
                <w:bCs/>
                <w:sz w:val="20"/>
                <w:szCs w:val="20"/>
              </w:rPr>
              <w:t># products</w:t>
            </w:r>
          </w:p>
        </w:tc>
        <w:tc>
          <w:tcPr>
            <w:tcW w:w="1800" w:type="dxa"/>
            <w:tcBorders>
              <w:top w:val="single" w:sz="24" w:space="0" w:color="000000" w:themeColor="text1"/>
              <w:left w:val="single" w:sz="4" w:space="0" w:color="FFFFFF"/>
              <w:bottom w:val="single" w:sz="2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2B7214BC" w14:textId="24BF27F0" w:rsidR="003C3CC5" w:rsidRPr="0032306B" w:rsidRDefault="003C3CC5" w:rsidP="003C3CC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corr</w:t>
            </w:r>
            <w:proofErr w:type="spellEnd"/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OOSxCONV</w:t>
            </w:r>
            <w:proofErr w:type="spellEnd"/>
          </w:p>
        </w:tc>
        <w:tc>
          <w:tcPr>
            <w:tcW w:w="718" w:type="dxa"/>
            <w:tcBorders>
              <w:top w:val="single" w:sz="24" w:space="0" w:color="000000" w:themeColor="text1"/>
              <w:left w:val="single" w:sz="4" w:space="0" w:color="FFFFFF"/>
              <w:bottom w:val="single" w:sz="2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52924ACF" w14:textId="77777777" w:rsidR="003C3CC5" w:rsidRPr="0032306B" w:rsidRDefault="003C3CC5" w:rsidP="003C3CC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r_sqr</w:t>
            </w:r>
            <w:proofErr w:type="spellEnd"/>
          </w:p>
        </w:tc>
        <w:tc>
          <w:tcPr>
            <w:tcW w:w="1161" w:type="dxa"/>
            <w:tcBorders>
              <w:top w:val="single" w:sz="24" w:space="0" w:color="000000" w:themeColor="text1"/>
              <w:left w:val="single" w:sz="4" w:space="0" w:color="FFFFFF"/>
              <w:bottom w:val="single" w:sz="2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514CD139" w14:textId="77777777" w:rsidR="003C3CC5" w:rsidRPr="0032306B" w:rsidRDefault="003C3CC5" w:rsidP="003C3CC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intercept</w:t>
            </w:r>
          </w:p>
        </w:tc>
        <w:tc>
          <w:tcPr>
            <w:tcW w:w="1006" w:type="dxa"/>
            <w:tcBorders>
              <w:top w:val="single" w:sz="24" w:space="0" w:color="000000" w:themeColor="text1"/>
              <w:left w:val="single" w:sz="4" w:space="0" w:color="FFFFFF"/>
              <w:bottom w:val="single" w:sz="2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0B035260" w14:textId="77777777" w:rsidR="003C3CC5" w:rsidRPr="0032306B" w:rsidRDefault="003C3CC5" w:rsidP="003C3CC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895" w:type="dxa"/>
            <w:tcBorders>
              <w:top w:val="single" w:sz="24" w:space="0" w:color="000000" w:themeColor="text1"/>
              <w:left w:val="single" w:sz="4" w:space="0" w:color="FFFFFF"/>
              <w:bottom w:val="single" w:sz="2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197BD81C" w14:textId="77777777" w:rsidR="003C3CC5" w:rsidRPr="0032306B" w:rsidRDefault="003C3CC5" w:rsidP="003C3CC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t_oos</w:t>
            </w:r>
            <w:proofErr w:type="spellEnd"/>
          </w:p>
        </w:tc>
        <w:tc>
          <w:tcPr>
            <w:tcW w:w="878" w:type="dxa"/>
            <w:tcBorders>
              <w:top w:val="single" w:sz="24" w:space="0" w:color="000000" w:themeColor="text1"/>
              <w:left w:val="single" w:sz="4" w:space="0" w:color="FFFFFF"/>
              <w:bottom w:val="single" w:sz="24" w:space="0" w:color="000000" w:themeColor="text1"/>
              <w:right w:val="single" w:sz="4" w:space="0" w:color="FFFFFF"/>
            </w:tcBorders>
            <w:shd w:val="clear" w:color="auto" w:fill="auto"/>
            <w:noWrap/>
            <w:hideMark/>
          </w:tcPr>
          <w:p w14:paraId="3F1E7C98" w14:textId="77777777" w:rsidR="003C3CC5" w:rsidRPr="0032306B" w:rsidRDefault="003C3CC5" w:rsidP="003C3CC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32306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p_oos</w:t>
            </w:r>
            <w:proofErr w:type="spellEnd"/>
          </w:p>
        </w:tc>
      </w:tr>
      <w:tr w:rsidR="003C3CC5" w:rsidRPr="000F3CE5" w14:paraId="19C78A8B" w14:textId="77777777" w:rsidTr="007832C3">
        <w:trPr>
          <w:trHeight w:val="300"/>
        </w:trPr>
        <w:tc>
          <w:tcPr>
            <w:tcW w:w="1975" w:type="dxa"/>
            <w:tcBorders>
              <w:top w:val="single" w:sz="24" w:space="0" w:color="000000" w:themeColor="text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442770D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Over the Counter</w:t>
            </w:r>
          </w:p>
        </w:tc>
        <w:tc>
          <w:tcPr>
            <w:tcW w:w="1292" w:type="dxa"/>
            <w:tcBorders>
              <w:top w:val="single" w:sz="24" w:space="0" w:color="000000" w:themeColor="text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24288EFF" w14:textId="3955BC1F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1796</w:t>
            </w:r>
          </w:p>
        </w:tc>
        <w:tc>
          <w:tcPr>
            <w:tcW w:w="1800" w:type="dxa"/>
            <w:tcBorders>
              <w:top w:val="single" w:sz="24" w:space="0" w:color="000000" w:themeColor="text1"/>
              <w:left w:val="nil"/>
              <w:bottom w:val="single" w:sz="4" w:space="0" w:color="FFFFFF" w:themeColor="background1"/>
              <w:right w:val="nil"/>
            </w:tcBorders>
            <w:shd w:val="clear" w:color="000000" w:fill="3B4CC0"/>
            <w:noWrap/>
            <w:vAlign w:val="center"/>
            <w:hideMark/>
          </w:tcPr>
          <w:p w14:paraId="14DE2396" w14:textId="49357DD1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  <w:t>-0.693</w:t>
            </w:r>
          </w:p>
        </w:tc>
        <w:tc>
          <w:tcPr>
            <w:tcW w:w="718" w:type="dxa"/>
            <w:tcBorders>
              <w:top w:val="single" w:sz="24" w:space="0" w:color="000000" w:themeColor="text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908009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161" w:type="dxa"/>
            <w:tcBorders>
              <w:top w:val="single" w:sz="24" w:space="0" w:color="000000" w:themeColor="text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30C800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-27.394</w:t>
            </w:r>
          </w:p>
        </w:tc>
        <w:tc>
          <w:tcPr>
            <w:tcW w:w="1006" w:type="dxa"/>
            <w:tcBorders>
              <w:top w:val="single" w:sz="24" w:space="0" w:color="000000" w:themeColor="text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1990D40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-27.394</w:t>
            </w:r>
          </w:p>
        </w:tc>
        <w:tc>
          <w:tcPr>
            <w:tcW w:w="895" w:type="dxa"/>
            <w:tcBorders>
              <w:top w:val="single" w:sz="24" w:space="0" w:color="000000" w:themeColor="text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79E0F43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-6.213</w:t>
            </w:r>
          </w:p>
        </w:tc>
        <w:tc>
          <w:tcPr>
            <w:tcW w:w="878" w:type="dxa"/>
            <w:tcBorders>
              <w:top w:val="single" w:sz="24" w:space="0" w:color="000000" w:themeColor="text1"/>
              <w:left w:val="nil"/>
              <w:bottom w:val="single" w:sz="4" w:space="0" w:color="FFFFFF" w:themeColor="background1"/>
              <w:right w:val="nil"/>
            </w:tcBorders>
            <w:shd w:val="clear" w:color="000000" w:fill="008000"/>
            <w:noWrap/>
            <w:vAlign w:val="center"/>
            <w:hideMark/>
          </w:tcPr>
          <w:p w14:paraId="35BC7454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0.000</w:t>
            </w:r>
          </w:p>
        </w:tc>
      </w:tr>
      <w:tr w:rsidR="003C3CC5" w:rsidRPr="000F3CE5" w14:paraId="31761982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71AA9AD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Wild Bird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5694352F" w14:textId="291ECD33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2146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5673E0"/>
            <w:noWrap/>
            <w:vAlign w:val="center"/>
            <w:hideMark/>
          </w:tcPr>
          <w:p w14:paraId="74EC07A5" w14:textId="43029ED5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-0.572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DEE2ED1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586D4BA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-0.526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09BC461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-0.526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2C98ACA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-3.228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008000"/>
            <w:noWrap/>
            <w:vAlign w:val="center"/>
            <w:hideMark/>
          </w:tcPr>
          <w:p w14:paraId="68DE4125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0.002</w:t>
            </w:r>
          </w:p>
        </w:tc>
      </w:tr>
      <w:tr w:rsidR="003C3CC5" w:rsidRPr="000F3CE5" w14:paraId="2BF6E7C6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ABD6DBD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Prescription Food &amp; Treats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556FD74D" w14:textId="1DB2F280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1206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6A8BEF"/>
            <w:noWrap/>
            <w:vAlign w:val="center"/>
            <w:hideMark/>
          </w:tcPr>
          <w:p w14:paraId="7027B982" w14:textId="0EC923D2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-0.494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F04A5DD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05BF005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-3.237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213B666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-3.237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94944F0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-2.456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008000"/>
            <w:noWrap/>
            <w:vAlign w:val="center"/>
            <w:hideMark/>
          </w:tcPr>
          <w:p w14:paraId="6AE69BE1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0.015</w:t>
            </w:r>
          </w:p>
        </w:tc>
      </w:tr>
      <w:tr w:rsidR="003C3CC5" w:rsidRPr="000F3CE5" w14:paraId="55C59263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A265319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Containment &amp; Gear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213F037F" w14:textId="750DCB39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9409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80A3FA"/>
            <w:noWrap/>
            <w:vAlign w:val="center"/>
            <w:hideMark/>
          </w:tcPr>
          <w:p w14:paraId="6B4EBA73" w14:textId="3EA37EAA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-0.411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653BBD9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55A473B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-0.051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36B5C47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-0.051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8BFF254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-2.740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008000"/>
            <w:noWrap/>
            <w:vAlign w:val="center"/>
            <w:hideMark/>
          </w:tcPr>
          <w:p w14:paraId="46C02E86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0.008</w:t>
            </w:r>
          </w:p>
        </w:tc>
      </w:tr>
      <w:tr w:rsidR="003C3CC5" w:rsidRPr="000F3CE5" w14:paraId="679338FE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78DB34A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Equine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09489543" w14:textId="2D3A48C9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15632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AEC9FC"/>
            <w:noWrap/>
            <w:vAlign w:val="center"/>
            <w:hideMark/>
          </w:tcPr>
          <w:p w14:paraId="3223D0C3" w14:textId="0975DA69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-0.237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30C8921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2F58AF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-0.183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0E1B0C7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-0.183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D4783DB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-1.456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B9A3FE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0.148</w:t>
            </w:r>
          </w:p>
        </w:tc>
      </w:tr>
      <w:tr w:rsidR="003C3CC5" w:rsidRPr="000F3CE5" w14:paraId="2879A1B8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5FE56A5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Pet Bird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5C6C95C1" w14:textId="30072342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3568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AEC9FC"/>
            <w:noWrap/>
            <w:vAlign w:val="center"/>
            <w:hideMark/>
          </w:tcPr>
          <w:p w14:paraId="594EC0C5" w14:textId="4092D7C6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-0.236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D4634B0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96005B9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-0.750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3C8767B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-0.750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C761238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-2.625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008000"/>
            <w:noWrap/>
            <w:vAlign w:val="center"/>
            <w:hideMark/>
          </w:tcPr>
          <w:p w14:paraId="18A5B767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0.011</w:t>
            </w:r>
          </w:p>
        </w:tc>
      </w:tr>
      <w:tr w:rsidR="003C3CC5" w:rsidRPr="000F3CE5" w14:paraId="79DF1134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D3DC544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Beds &amp; Furniture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135C6AA0" w14:textId="1CE06575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15351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D3DBE7"/>
            <w:noWrap/>
            <w:vAlign w:val="center"/>
            <w:hideMark/>
          </w:tcPr>
          <w:p w14:paraId="25C5AF1A" w14:textId="4CB9EA40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-0.083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BDB336A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350417A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8ECA23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918CB7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-0.756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7433F45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0.452</w:t>
            </w:r>
          </w:p>
        </w:tc>
      </w:tr>
      <w:tr w:rsidR="003C3CC5" w:rsidRPr="000F3CE5" w14:paraId="0F8FE5B8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DA4019B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Flea &amp; Tick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6E772749" w14:textId="67A1021B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D8DCE2"/>
            <w:noWrap/>
            <w:vAlign w:val="center"/>
            <w:hideMark/>
          </w:tcPr>
          <w:p w14:paraId="17DE921E" w14:textId="5B7339A4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-0.057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09857A6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F675178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-0.671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9AD6473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-0.671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BF3735B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-1.304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59D5342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0.194</w:t>
            </w:r>
          </w:p>
        </w:tc>
      </w:tr>
      <w:tr w:rsidR="003C3CC5" w:rsidRPr="000F3CE5" w14:paraId="20A0A950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E6C760C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Core Treats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4A7D74DA" w14:textId="26DAC663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23966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E2DAD5"/>
            <w:noWrap/>
            <w:vAlign w:val="center"/>
            <w:hideMark/>
          </w:tcPr>
          <w:p w14:paraId="41F978A9" w14:textId="6C2B0C22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A96BE1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4084CC2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D75695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C583282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E968CB3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0.942</w:t>
            </w:r>
          </w:p>
        </w:tc>
      </w:tr>
      <w:tr w:rsidR="003C3CC5" w:rsidRPr="000F3CE5" w14:paraId="196BADDF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E8C2652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Chicken &amp; Farm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66706DCC" w14:textId="31F9921E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2486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E4D9D2"/>
            <w:noWrap/>
            <w:vAlign w:val="center"/>
            <w:hideMark/>
          </w:tcPr>
          <w:p w14:paraId="71A703D5" w14:textId="49F8BCD1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F4AFFB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B41A4CA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-0.497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05BBCE3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-0.497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A6A32B2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-0.592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727B587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0.563</w:t>
            </w:r>
          </w:p>
        </w:tc>
      </w:tr>
      <w:tr w:rsidR="003C3CC5" w:rsidRPr="000F3CE5" w14:paraId="4F1D9F84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2FA15D5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Leashes, Collars &amp; Bowls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3135464F" w14:textId="4E674DAF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27583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E9D5CB"/>
            <w:noWrap/>
            <w:vAlign w:val="center"/>
            <w:hideMark/>
          </w:tcPr>
          <w:p w14:paraId="5F2473B4" w14:textId="02311D14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477ACBD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E2A9B29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-0.117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38F5F31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-0.117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E43B8D6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-2.139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008000"/>
            <w:noWrap/>
            <w:vAlign w:val="center"/>
            <w:hideMark/>
          </w:tcPr>
          <w:p w14:paraId="4716C202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0.036</w:t>
            </w:r>
          </w:p>
        </w:tc>
      </w:tr>
      <w:tr w:rsidR="003C3CC5" w:rsidRPr="000F3CE5" w14:paraId="4C098563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E7D6E29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Toys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4B4624A4" w14:textId="6C1C02AC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22348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EED0C0"/>
            <w:noWrap/>
            <w:vAlign w:val="center"/>
            <w:hideMark/>
          </w:tcPr>
          <w:p w14:paraId="6CF7E140" w14:textId="63D70776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C894397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8F2F510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BB02E5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0EFB7E6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76EADA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0.453</w:t>
            </w:r>
          </w:p>
        </w:tc>
      </w:tr>
      <w:tr w:rsidR="003C3CC5" w:rsidRPr="000F3CE5" w14:paraId="4BA59F13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44F0201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Reptile &amp; Amphibians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439B2247" w14:textId="099F60FF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3088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F59C7D"/>
            <w:noWrap/>
            <w:vAlign w:val="center"/>
            <w:hideMark/>
          </w:tcPr>
          <w:p w14:paraId="060CAE71" w14:textId="5CF87B32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F8CE2D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AE832D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8F44EC8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F7F2A38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1.320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C837ED6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0.191</w:t>
            </w:r>
          </w:p>
        </w:tc>
      </w:tr>
      <w:tr w:rsidR="003C3CC5" w:rsidRPr="000F3CE5" w14:paraId="15407325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BD472BF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699659DC" w14:textId="4258C850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2343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F29274"/>
            <w:noWrap/>
            <w:vAlign w:val="center"/>
            <w:hideMark/>
          </w:tcPr>
          <w:p w14:paraId="1042D0DF" w14:textId="317ED3F6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E53B96D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CFD7034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1C63A0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CAE09A5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1.716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BB4E19F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0.088</w:t>
            </w:r>
          </w:p>
        </w:tc>
      </w:tr>
      <w:tr w:rsidR="003C3CC5" w:rsidRPr="000F3CE5" w14:paraId="6DBE2B0A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48E18F2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Litter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1708A7D5" w14:textId="63098F4F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2213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F18D6F"/>
            <w:noWrap/>
            <w:vAlign w:val="center"/>
            <w:hideMark/>
          </w:tcPr>
          <w:p w14:paraId="3A5FF932" w14:textId="4802306D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EE7C19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BFB84B1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B1E6048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76065E0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831134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0.939</w:t>
            </w:r>
          </w:p>
        </w:tc>
      </w:tr>
      <w:tr w:rsidR="003C3CC5" w:rsidRPr="000F3CE5" w14:paraId="50771723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3861612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Fish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2CADBF91" w14:textId="00CBB946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7646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F08A6C"/>
            <w:noWrap/>
            <w:vAlign w:val="center"/>
            <w:hideMark/>
          </w:tcPr>
          <w:p w14:paraId="3A0978B2" w14:textId="421B4EE0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8681B6F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CF131D6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C11C7A3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124C3C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1.454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A789EF7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0.149</w:t>
            </w:r>
          </w:p>
        </w:tc>
      </w:tr>
      <w:tr w:rsidR="003C3CC5" w:rsidRPr="000F3CE5" w14:paraId="6D39C589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3BF7668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Premium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72E2C276" w14:textId="228F514D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6916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E16751"/>
            <w:noWrap/>
            <w:vAlign w:val="center"/>
            <w:hideMark/>
          </w:tcPr>
          <w:p w14:paraId="632E1B57" w14:textId="209AEF80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ADBD535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E8F5514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BBFBFCD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62DE5A7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69D00AC3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0.740</w:t>
            </w:r>
          </w:p>
        </w:tc>
      </w:tr>
      <w:tr w:rsidR="003C3CC5" w:rsidRPr="000F3CE5" w14:paraId="1A7366E5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C5C0BC8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 Pet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5B79ABA1" w14:textId="6F2ECA84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4595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E16751"/>
            <w:noWrap/>
            <w:vAlign w:val="center"/>
            <w:hideMark/>
          </w:tcPr>
          <w:p w14:paraId="523CF0F7" w14:textId="004B1538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6F5107F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28686A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DE9203D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386C75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1.048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49B074A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0.296</w:t>
            </w:r>
          </w:p>
        </w:tc>
      </w:tr>
      <w:tr w:rsidR="003C3CC5" w:rsidRPr="000F3CE5" w14:paraId="767F1FF9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83F1DD5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Core Food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341EF563" w14:textId="711C2399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22968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DC5D4A"/>
            <w:noWrap/>
            <w:vAlign w:val="center"/>
            <w:hideMark/>
          </w:tcPr>
          <w:p w14:paraId="08684887" w14:textId="65BA38B9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3B315D9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859DF27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1.911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AD2B349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1.911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034C260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1.229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311A1F6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0.221</w:t>
            </w:r>
          </w:p>
        </w:tc>
      </w:tr>
      <w:tr w:rsidR="003C3CC5" w:rsidRPr="000F3CE5" w14:paraId="34CBA315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5FA89D9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Apparel &amp; People Products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218C0A36" w14:textId="5F8E8D8E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30768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D55042"/>
            <w:noWrap/>
            <w:vAlign w:val="center"/>
            <w:hideMark/>
          </w:tcPr>
          <w:p w14:paraId="7786FD01" w14:textId="22B8AB30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0A511E4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7AC1B7D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0A76514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0DD5B81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1.464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70C0FE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0.145</w:t>
            </w:r>
          </w:p>
        </w:tc>
      </w:tr>
      <w:tr w:rsidR="003C3CC5" w:rsidRPr="000F3CE5" w14:paraId="3BABC264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33C337A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Health &amp; Wellness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3858206B" w14:textId="7AD96CDB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8863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C0282F"/>
            <w:noWrap/>
            <w:vAlign w:val="center"/>
            <w:hideMark/>
          </w:tcPr>
          <w:p w14:paraId="378F7071" w14:textId="14706ED2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  <w:t>0.583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14D95D79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71E39AD5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1.203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43B7E034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1.203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00210A6E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000000" w:fill="008000"/>
            <w:noWrap/>
            <w:vAlign w:val="center"/>
            <w:hideMark/>
          </w:tcPr>
          <w:p w14:paraId="0E99C1C8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0.030</w:t>
            </w:r>
          </w:p>
        </w:tc>
      </w:tr>
      <w:tr w:rsidR="003C3CC5" w:rsidRPr="000F3CE5" w14:paraId="3BE5AA11" w14:textId="77777777" w:rsidTr="007832C3">
        <w:trPr>
          <w:trHeight w:val="300"/>
        </w:trPr>
        <w:tc>
          <w:tcPr>
            <w:tcW w:w="1975" w:type="dxa"/>
            <w:tcBorders>
              <w:top w:val="single" w:sz="4" w:space="0" w:color="FFFFFF" w:themeColor="background1"/>
              <w:left w:val="nil"/>
              <w:bottom w:val="single" w:sz="2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474D4908" w14:textId="77777777" w:rsidR="003C3CC5" w:rsidRPr="0032306B" w:rsidRDefault="003C3CC5" w:rsidP="007832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Grooming &amp; Waste Management</w:t>
            </w:r>
          </w:p>
        </w:tc>
        <w:tc>
          <w:tcPr>
            <w:tcW w:w="1292" w:type="dxa"/>
            <w:tcBorders>
              <w:top w:val="single" w:sz="4" w:space="0" w:color="FFFFFF" w:themeColor="background1"/>
              <w:left w:val="nil"/>
              <w:bottom w:val="single" w:sz="24" w:space="0" w:color="000000" w:themeColor="text1"/>
              <w:right w:val="nil"/>
            </w:tcBorders>
            <w:vAlign w:val="center"/>
          </w:tcPr>
          <w:p w14:paraId="683D51BB" w14:textId="0231F976" w:rsidR="003C3CC5" w:rsidRPr="000F3CE5" w:rsidRDefault="003C3CC5" w:rsidP="007832C3">
            <w:pPr>
              <w:jc w:val="center"/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</w:pPr>
            <w:r w:rsidRPr="000F3CE5">
              <w:rPr>
                <w:rFonts w:ascii="Calibri" w:hAnsi="Calibri" w:cs="Calibri"/>
                <w:color w:val="000000"/>
                <w:sz w:val="20"/>
                <w:szCs w:val="20"/>
              </w:rPr>
              <w:t>16356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nil"/>
              <w:bottom w:val="single" w:sz="24" w:space="0" w:color="000000" w:themeColor="text1"/>
              <w:right w:val="nil"/>
            </w:tcBorders>
            <w:shd w:val="clear" w:color="000000" w:fill="B40426"/>
            <w:noWrap/>
            <w:vAlign w:val="center"/>
            <w:hideMark/>
          </w:tcPr>
          <w:p w14:paraId="7AF787A0" w14:textId="27E07034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F1F1F1"/>
                <w:sz w:val="20"/>
                <w:szCs w:val="20"/>
              </w:rPr>
              <w:t>0.625</w:t>
            </w:r>
          </w:p>
        </w:tc>
        <w:tc>
          <w:tcPr>
            <w:tcW w:w="718" w:type="dxa"/>
            <w:tcBorders>
              <w:top w:val="single" w:sz="4" w:space="0" w:color="FFFFFF" w:themeColor="background1"/>
              <w:left w:val="nil"/>
              <w:bottom w:val="single" w:sz="2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051B0F85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61" w:type="dxa"/>
            <w:tcBorders>
              <w:top w:val="single" w:sz="4" w:space="0" w:color="FFFFFF" w:themeColor="background1"/>
              <w:left w:val="nil"/>
              <w:bottom w:val="single" w:sz="2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7A2F27A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1006" w:type="dxa"/>
            <w:tcBorders>
              <w:top w:val="single" w:sz="4" w:space="0" w:color="FFFFFF" w:themeColor="background1"/>
              <w:left w:val="nil"/>
              <w:bottom w:val="single" w:sz="2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7E11E0D3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nil"/>
              <w:bottom w:val="single" w:sz="2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0EEAFBDC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0.677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left w:val="nil"/>
              <w:bottom w:val="single" w:sz="2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67CCEE7A" w14:textId="77777777" w:rsidR="003C3CC5" w:rsidRPr="0032306B" w:rsidRDefault="003C3CC5" w:rsidP="007832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30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</w:t>
            </w:r>
          </w:p>
        </w:tc>
      </w:tr>
    </w:tbl>
    <w:p w14:paraId="77117FE5" w14:textId="4AE0789A" w:rsidR="00F15901" w:rsidRPr="001A3A13" w:rsidRDefault="00F15901" w:rsidP="000F3CE5">
      <w:pPr>
        <w:keepNext/>
      </w:pPr>
    </w:p>
    <w:sectPr w:rsidR="00F15901" w:rsidRPr="001A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876E2"/>
    <w:multiLevelType w:val="hybridMultilevel"/>
    <w:tmpl w:val="B16623CE"/>
    <w:lvl w:ilvl="0" w:tplc="E16C9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DB"/>
    <w:rsid w:val="000063D0"/>
    <w:rsid w:val="000F3CE5"/>
    <w:rsid w:val="00106D23"/>
    <w:rsid w:val="001A3A13"/>
    <w:rsid w:val="001C2D9C"/>
    <w:rsid w:val="00211359"/>
    <w:rsid w:val="0032306B"/>
    <w:rsid w:val="003A584D"/>
    <w:rsid w:val="003C3CC5"/>
    <w:rsid w:val="00443BDB"/>
    <w:rsid w:val="00725FF2"/>
    <w:rsid w:val="007832C3"/>
    <w:rsid w:val="007E4DE1"/>
    <w:rsid w:val="00894EBA"/>
    <w:rsid w:val="009163F8"/>
    <w:rsid w:val="009434C4"/>
    <w:rsid w:val="009E4740"/>
    <w:rsid w:val="00AC5200"/>
    <w:rsid w:val="00AE53C2"/>
    <w:rsid w:val="00F15901"/>
    <w:rsid w:val="00F1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7AC0D"/>
  <w15:chartTrackingRefBased/>
  <w15:docId w15:val="{97F06C46-AFD3-8144-8ED0-79B0715E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BDB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E474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4740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E47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63D0"/>
    <w:pPr>
      <w:spacing w:after="200"/>
    </w:pPr>
    <w:rPr>
      <w:b/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20F737-6917-734B-BBD4-3E9B8B4C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Duran Bernardes</dc:creator>
  <cp:keywords/>
  <dc:description/>
  <cp:lastModifiedBy>Suzana Duran Bernardes</cp:lastModifiedBy>
  <cp:revision>6</cp:revision>
  <dcterms:created xsi:type="dcterms:W3CDTF">2021-07-06T12:56:00Z</dcterms:created>
  <dcterms:modified xsi:type="dcterms:W3CDTF">2021-07-08T14:32:00Z</dcterms:modified>
</cp:coreProperties>
</file>