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B5FA5"/>
          <w:sz w:val="40"/>
          <w:szCs w:val="40"/>
        </w:rPr>
        <w:t xml:space="preserve">TÀI LIỆU HỆ THỐNG IAM sdvico</w:t>
      </w:r>
    </w:p>
    <w:p>
      <w:pPr>
        <w:spacing w:after="100"/>
        <w:jc w:val="center"/>
      </w:pPr>
      <w:r>
        <w:rPr>
          <w:color w:val="17A398"/>
          <w:sz w:val="24"/>
          <w:szCs w:val="24"/>
        </w:rPr>
        <w:t xml:space="preserve">Mô hình tổ chức · Tích hợp IAM Sync API · Xác thực SSO</w:t>
      </w:r>
    </w:p>
    <w:p>
      <w:pPr>
        <w:spacing w:after="400"/>
        <w:jc w:val="center"/>
      </w:pPr>
      <w:r>
        <w:rPr>
          <w:color w:val="6E787E"/>
          <w:sz w:val="18"/>
          <w:szCs w:val="18"/>
        </w:rPr>
        <w:t xml:space="preserve">Cập nhật: 22/09/2026  ·  Nội bộ dự án fork logto-io/logto cho sdvico</w:t>
      </w:r>
    </w:p>
    <w:p>
      <w:pPr>
        <w:pStyle w:val="Heading1"/>
        <w:spacing w:after="150" w:before="300"/>
      </w:pPr>
      <w:r>
        <w:t xml:space="preserve">1. Mô hình tổ chức (Organization)</w:t>
      </w:r>
    </w:p>
    <w:p>
      <w:pPr>
        <w:spacing w:after="120"/>
      </w:pPr>
      <w:r>
        <w:t xml:space="preserve">Hệ thống dùng mô hình 3 cấp: Trung ương – Tỉnh/Chi cục – Cảng/Ban quản lý. Logto không có phân cấp tổ chức (parent-child) trong schema gốc, nên cấp bậc được mô phỏng qua trường custom_data.level trên mỗi Organization ("trung_uong" | "tinh" | "cang"). Vai trò (Role) gắn theo từng tổ chức qua Organization Role, dùng chung 3 vai trò cho mọi tổ chức: Trưởng / Phó / Chuyên viên.</w:t>
      </w:r>
    </w:p>
    <w:p>
      <w:pPr>
        <w:spacing w:after="60"/>
        <w:jc w:val="center"/>
      </w:pPr>
      <w:r>
        <w:drawing>
          <wp:inline distT="0" distB="0" distL="0" distR="0">
            <wp:extent cx="61293375" cy="3940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3375" cy="394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E787E"/>
          <w:sz w:val="18"/>
          <w:szCs w:val="18"/>
        </w:rPr>
        <w:t xml:space="preserve">Hình 1 — Cây tổ chức IAM sdvico (rút gọn, xem đầy đủ 14 tổ chức trong .sdvico/seed-nkkt-users.sql)</w:t>
      </w:r>
    </w:p>
    <w:p>
      <w:pPr>
        <w:spacing w:after="120"/>
      </w:pPr>
      <w:r>
        <w:t xml:space="preserve">Data Scope (phạm vi dữ liệu nghiệp vụ: tỉnh / xã-phường / cảng / tàu) không nằm trong cây tổ chức ở trên — đây là thuộc tính riêng của từng User, lưu ở users.custom_data.dataScope, độc lập với việc user thuộc tổ chức nào.</w:t>
      </w:r>
    </w:p>
    <w:p>
      <w:pPr>
        <w:pStyle w:val="Heading1"/>
        <w:spacing w:after="150" w:before="300"/>
      </w:pPr>
      <w:r>
        <w:t xml:space="preserve">2. Tích hợp M2M — sdvico IAM Sync API</w:t>
      </w:r>
    </w:p>
    <w:p>
      <w:pPr>
        <w:pStyle w:val="Heading2"/>
        <w:spacing w:after="120" w:before="240"/>
      </w:pPr>
      <w:r>
        <w:t xml:space="preserve">2.1. Xác thực</w:t>
      </w:r>
    </w:p>
    <w:p>
      <w:pPr>
        <w:spacing w:after="120"/>
      </w:pPr>
      <w:r>
        <w:t xml:space="preserve">Chuẩn OAuth2 grant client_credentials. Mỗi hệ thống ngoài (IUU / MKN / CBVMS) có 1 client_id/client_secret riêng, xin token cho đúng API Resource dành riêng cho IAM Sync (không dùng chung quyền Management API).</w:t>
      </w:r>
    </w:p>
    <w:p>
      <w:pPr>
        <w:shd w:fill="F4F8FA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POST /oidc/token</w:t>
      </w:r>
    </w:p>
    <w:p>
      <w:pPr>
        <w:shd w:fill="F4F8FA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grant_type=client_credentials</w:t>
      </w:r>
    </w:p>
    <w:p>
      <w:pPr>
        <w:shd w:fill="F4F8FA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client_id=&lt;client_id&gt;</w:t>
      </w:r>
    </w:p>
    <w:p>
      <w:pPr>
        <w:shd w:fill="F4F8FA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client_secret=&lt;client_secret&gt;</w:t>
      </w:r>
    </w:p>
    <w:p>
      <w:pPr>
        <w:shd w:fill="F4F8FA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resource=https://&lt;tenantId&gt;.logto.app/iam-sync</w:t>
      </w:r>
    </w:p>
    <w:p>
      <w:pPr>
        <w:shd w:fill="F4F8FA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scope=iam-sync:read</w:t>
      </w:r>
    </w:p>
    <w:p>
      <w:pPr>
        <w:pStyle w:val="Heading2"/>
        <w:spacing w:after="120" w:before="240"/>
      </w:pPr>
      <w:r>
        <w:t xml:space="preserve">2.2. Sequence diagram — luồng gọi API</w:t>
      </w:r>
    </w:p>
    <w:p>
      <w:pPr>
        <w:spacing w:after="60"/>
        <w:jc w:val="center"/>
      </w:pPr>
      <w:r>
        <w:drawing>
          <wp:inline distT="0" distB="0" distL="0" distR="0">
            <wp:extent cx="61293375" cy="2276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3375" cy="2276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E787E"/>
          <w:sz w:val="18"/>
          <w:szCs w:val="18"/>
        </w:rPr>
        <w:t xml:space="preserve">Hình 2 — Luồng M2M: xin token rồi gọi GET /api/iam-sync/v1/users</w:t>
      </w:r>
    </w:p>
    <w:p>
      <w:pPr>
        <w:pStyle w:val="Heading2"/>
        <w:spacing w:after="120" w:before="240"/>
      </w:pPr>
      <w:r>
        <w:t xml:space="preserve">2.3. Endpoint</w:t>
      </w:r>
    </w:p>
    <w:p>
      <w:pPr>
        <w:shd w:fill="F4F8FA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GET /api/iam-sync/v1/users</w:t>
      </w:r>
    </w:p>
    <w:p>
      <w:pPr>
        <w:spacing w:after="120"/>
      </w:pPr>
      <w:r>
        <w:t xml:space="preserve">Không phân trang — trả toàn bộ user mà app được phép thấy trong 1 lần gọi.</w:t>
      </w:r>
    </w:p>
    <w:p>
      <w:pPr>
        <w:pStyle w:val="Heading2"/>
        <w:spacing w:after="120" w:before="240"/>
      </w:pPr>
      <w:r>
        <w:t xml:space="preserve">2.4. Cấu trúc response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00"/>
      </w:tblGrid>
      <w:tr>
        <w:trPr>
          <w:tblHeader/>
        </w:trPr>
        <w:tc>
          <w:tcPr>
            <w:tcW w:type="dxa" w:w="22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20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Kiểu</w:t>
            </w:r>
          </w:p>
        </w:tc>
        <w:tc>
          <w:tcPr>
            <w:tcW w:type="dxa" w:w="48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Ý nghĩa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 ID nội bộ của IAM — cố định, không đổi theo thời gian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username / name / email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 | null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Thông tin hiển thị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active | suspended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Trạng thái tài khoản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organizations[]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{id,name}[]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Tổ chức user thuộc về (trong phạm vi app được phép thấy)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roles[]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{code,name}[]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code ổn định (TRUONG/PHO/CHUYEN_VIEN) + name hiển thị tiếng Việt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permissions[]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string[]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Quyền hạn suy từ vai trò (vd iuu:read, iuu:update)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scopes[]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{type,id}[]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scope: province / ward / port / vessel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external_ids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Map user_id cũ của hệ thống ngoài — xem mục 2.6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ISO datetime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Lần cập nhật gần nhất</w:t>
            </w:r>
          </w:p>
        </w:tc>
      </w:tr>
    </w:tbl>
    <w:p>
      <w:pPr>
        <w:pStyle w:val="Heading2"/>
        <w:spacing w:after="120" w:before="240"/>
      </w:pPr>
      <w:r>
        <w:t xml:space="preserve">2.5. Phân quyền theo tổ chức / cấp độ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 là thành viên Organization cấp "Trung ương" (custom_data.level=trung_uong) → thấy TOÀN BỘ user mọi tổ chức.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 là thành viên Organization cấp "Tỉnh"/"Cảng" cụ thể → CHỈ thấy user thuộc đúng (các) tổ chức đó.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 chưa được gán vào Organization nào → 403 auth.forbidden.</w:t>
      </w:r>
    </w:p>
    <w:p>
      <w:pPr>
        <w:pStyle w:val="Heading2"/>
        <w:spacing w:after="120" w:before="240"/>
      </w:pPr>
      <w:r>
        <w:t xml:space="preserve">2.6. Map user_id cũ — tránh tạo trùng khi đồng bộ lần đầu</w:t>
      </w:r>
    </w:p>
    <w:p>
      <w:pPr>
        <w:spacing w:after="120"/>
      </w:pPr>
      <w:r>
        <w:t xml:space="preserve">Nếu hệ thống ngoài đã có sẵn user với user_id riêng trước khi tích hợp IAM, dùng field external_ids.&lt;tên hệ thống&gt; (vd external_ids.nkkt) để đối chiếu chính xác 1-1. Nếu chưa có mapping này, tạm đối chiếu bằng username (KHÔNG dùng email làm khoá chính — dữ liệu thật đã ghi nhận trường hợp 2 user dùng chung 1 email). Sau khi đối chiếu xong lần đầu, hệ thống ngoài PHẢI lưu lại field id (user_id của IAM) làm khoá liên kết vĩnh viễn cho các lần đồng bộ sau — không lặp lại việc so khớp theo tên/email nữa.</w:t>
      </w:r>
    </w:p>
    <w:p>
      <w:pPr>
        <w:pStyle w:val="Heading2"/>
        <w:spacing w:after="120" w:before="240"/>
      </w:pPr>
      <w:r>
        <w:t xml:space="preserve">2.7. Mã lỗi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00"/>
      </w:tblGrid>
      <w:tr>
        <w:trPr>
          <w:tblHeader/>
        </w:trPr>
        <w:tc>
          <w:tcPr>
            <w:tcW w:type="dxa" w:w="15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4500"/>
            <w:shd w:fill="D9E2F3" w:val="clear"/>
          </w:tcPr>
          <w:p>
            <w:r>
              <w:rPr>
                <w:b/>
                <w:bCs/>
                <w:sz w:val="19"/>
                <w:szCs w:val="19"/>
              </w:rPr>
              <w:t xml:space="preserve">Ý nghĩa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401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auth.unauthorized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Token không hợp lệ / hết hạn / sai audience (resource)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auth.forbidden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Thiếu scope iam-sync:read, hoặc app chưa gán vào Organization nào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3. Xác thực SSO (đăng nhập người dùng)</w:t>
      </w:r>
    </w:p>
    <w:p>
      <w:pPr>
        <w:spacing w:after="120"/>
      </w:pPr>
      <w:r>
        <w:t xml:space="preserve">Khác hoàn toàn với luồng M2M ở mục 2 — đây là luồng NGƯỜI DÙNG THẬT đăng nhập vào một ứng dụng, dùng chuẩn OpenID Connect Authorization Code kèm PKCE.</w:t>
      </w:r>
    </w:p>
    <w:p>
      <w:pPr>
        <w:spacing w:after="60"/>
        <w:jc w:val="center"/>
      </w:pPr>
      <w:r>
        <w:drawing>
          <wp:inline distT="0" distB="0" distL="0" distR="0">
            <wp:extent cx="61293375" cy="417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3375" cy="417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E787E"/>
          <w:sz w:val="18"/>
          <w:szCs w:val="18"/>
        </w:rPr>
        <w:t xml:space="preserve">Hình 3 — Luồng SSO: Authorization Code + PKCE</w:t>
      </w:r>
    </w:p>
    <w:p>
      <w:pPr>
        <w:pStyle w:val="Heading2"/>
        <w:spacing w:after="120" w:before="240"/>
      </w:pPr>
      <w:r>
        <w:t xml:space="preserve">3.1. Các bước chính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1–3: Người dùng truy cập ứng dụng, ứng dụng chuyển hướng trình duyệt sang IAM kèm code_challenge (PKCE).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4–5: IAM hiển thị trang đăng nhập, người dùng xác thực (tài khoản/mật khẩu hoặc kết nối SSO khác nếu có cấu hình).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6–7: IAM chuyển hướng về ứng dụng kèm mã code dùng 1 lần.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8–9: Ứng dụng đổi code lấy access_token / id_token / refresh_token (kèm code_verifier để chống đánh cắp mã).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10–11: Ứng dụng gọi userinfo để lấy thông tin chi tiết (vai trò, tổ chức, custom_data...) nếu cần.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12: Ứng dụng thiết lập phiên đăng nhập cho người dùng.</w:t>
      </w:r>
    </w:p>
    <w:p>
      <w:pPr>
        <w:pStyle w:val="Heading2"/>
        <w:spacing w:after="120" w:before="240"/>
      </w:pPr>
      <w:r>
        <w:t xml:space="preserve">3.2. Lưu ý khi tích hợp SSO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Luôn dùng PKCE (code_challenge/code_verifier), kể cả với ứng dụng có client_secret — chống chặn mã giữa đường.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access_token dùng để gọi API thay mặt người dùng; id_token chứa thông tin định danh đã ký, dùng để xác minh phiên; refresh_token dùng để lấy access_token mới khi hết hạn, không cần đăng nhập lại.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Đây là luồng riêng cho người dùng cuối — KHÔNG dùng client_credentials (M2M) để giả lập đăng nhập người dùng.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Việc còn tồn đọng / cần xác nhận thêm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Đổi client_secret hiện tại (đang là giá trị sinh ngẫu nhiên cho môi trường test) trước khi đưa vào vận hành thật.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Xác nhận domain/tenant thật khi triển khai — hiện dùng https://default.logto.app/iam-sync cho môi trường local.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Nếu cần giới hạn từng app (IUU/MKN/CBVMS) chỉ thấy một số tỉnh/cảng cụ thể thay vì mặc định "Trung ương" (toàn quốc), cần cấu hình riêng cho từng app.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Console UI (giao diện quản trị bằng tay) chưa được build — hiện chỉ có API.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139ce32b19c5dc17c7d79df2d9fe839105fd604.png"/><Relationship Id="rId8" Type="http://schemas.openxmlformats.org/officeDocument/2006/relationships/image" Target="media/6c6d0e5d110d5f13ac354da50f2a0f4b179f79c3.png"/><Relationship Id="rId9" Type="http://schemas.openxmlformats.org/officeDocument/2006/relationships/image" Target="media/2e6b2f852917c29838784a9cc9b74cc8a5657e5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2026-09-22T04:19:10.182Z</dcterms:created>
  <dcterms:modified xsi:type="dcterms:W3CDTF">2026-09-22T04:19:10.183Z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