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8133" w14:textId="77777777" w:rsidR="004F00A1" w:rsidRDefault="004F00A1" w:rsidP="004F00A1">
      <w:pPr>
        <w:pStyle w:val="Title"/>
      </w:pPr>
      <w:r>
        <w:t>A lawbook for East Denmark?</w:t>
      </w:r>
    </w:p>
    <w:p w14:paraId="2B5105F1" w14:textId="7C117276" w:rsidR="004F00A1" w:rsidRDefault="003A7A1E" w:rsidP="001A7416">
      <w:pPr>
        <w:pStyle w:val="Body"/>
      </w:pPr>
      <w:r>
        <w:t xml:space="preserve">Today (Tuesday, </w:t>
      </w:r>
      <w:r w:rsidR="004F00A1">
        <w:t>18 November</w:t>
      </w:r>
      <w:r>
        <w:t>)</w:t>
      </w:r>
      <w:r w:rsidR="004F00A1">
        <w:t xml:space="preserve"> residents </w:t>
      </w:r>
      <w:r>
        <w:t>across</w:t>
      </w:r>
      <w:r w:rsidR="004F00A1">
        <w:t xml:space="preserve"> Denmark </w:t>
      </w:r>
      <w:r>
        <w:t>can be found at</w:t>
      </w:r>
      <w:r w:rsidR="004F00A1">
        <w:t xml:space="preserve"> their local polling places to vote in municipal and regional elections, an event that happens every four years. Those living in the capital region or on the islands of Zealand, Bornholm, Lolland, Falster and others will notice a significant difference from four years ago, however. Rather than voting for the best candidate to represent the Captial Region or Region Zealand, residents of these two current regions will now vote in a new, combined region, East Denmark.</w:t>
      </w:r>
    </w:p>
    <w:p w14:paraId="1F546B78" w14:textId="3562C1F8" w:rsidR="005C6FCB" w:rsidRPr="00AC2904" w:rsidRDefault="005C6FCB" w:rsidP="001A7416">
      <w:pPr>
        <w:pStyle w:val="Body"/>
      </w:pPr>
      <w:r>
        <w:t>This is not the first time the term “East Denmark” has been used to describe a political entity.</w:t>
      </w:r>
      <w:r w:rsidR="00AC2904">
        <w:t xml:space="preserve"> From a medieval perspective, however, East Denmark refers to an entirely different area than the </w:t>
      </w:r>
      <w:r w:rsidR="003A7A1E">
        <w:t>newly formed</w:t>
      </w:r>
      <w:r w:rsidR="00AC2904">
        <w:t xml:space="preserve"> </w:t>
      </w:r>
      <w:r w:rsidR="003A7A1E">
        <w:t>region</w:t>
      </w:r>
      <w:r w:rsidR="00AC2904">
        <w:t xml:space="preserve">. In this month’s installment of </w:t>
      </w:r>
      <w:r w:rsidR="00AC2904">
        <w:rPr>
          <w:i/>
          <w:iCs/>
        </w:rPr>
        <w:t>Manuscript of the Month</w:t>
      </w:r>
      <w:r w:rsidR="003A7A1E">
        <w:t>,</w:t>
      </w:r>
      <w:r w:rsidR="00AC2904">
        <w:t xml:space="preserve"> we take a closer look at a legal manuscript which, although primarily intended for the area of medieval Denmark currently undergoing a name-change to East Denmark, also contains texts from the </w:t>
      </w:r>
      <w:r w:rsidR="003A7A1E">
        <w:t>former</w:t>
      </w:r>
      <w:r w:rsidR="00AC2904">
        <w:t xml:space="preserve"> East Denmark.</w:t>
      </w:r>
    </w:p>
    <w:p w14:paraId="6C09549C" w14:textId="77777777" w:rsidR="005C6FCB" w:rsidRDefault="005C6FCB" w:rsidP="00AC2904">
      <w:pPr>
        <w:pStyle w:val="Body"/>
        <w:ind w:firstLine="0"/>
      </w:pPr>
    </w:p>
    <w:p w14:paraId="3F0ACD86" w14:textId="32001305" w:rsidR="005C6FCB" w:rsidRDefault="002E26DA" w:rsidP="005C6FCB">
      <w:pPr>
        <w:pStyle w:val="Heading"/>
      </w:pPr>
      <w:r>
        <w:t xml:space="preserve">Provincial law of </w:t>
      </w:r>
      <w:r>
        <w:rPr>
          <w:strike/>
        </w:rPr>
        <w:t>East Denmark</w:t>
      </w:r>
      <w:r>
        <w:t xml:space="preserve"> Zealand</w:t>
      </w:r>
    </w:p>
    <w:p w14:paraId="70B1A0E6" w14:textId="15BD008C" w:rsidR="002E26DA" w:rsidRDefault="00D70719" w:rsidP="004F00A1">
      <w:pPr>
        <w:pStyle w:val="Body"/>
      </w:pPr>
      <w:r>
        <w:t xml:space="preserve">Medieval Denmark was </w:t>
      </w:r>
      <w:r w:rsidR="003A7A1E">
        <w:t xml:space="preserve">juridically </w:t>
      </w:r>
      <w:r>
        <w:t xml:space="preserve">divided into three provinces, each with its own provincial law. </w:t>
      </w:r>
      <w:r w:rsidR="002E26DA">
        <w:t>The middle province, Zealand, consisted of the island of Zealand and surrounding islands, including Lolland, Falster and Møn.</w:t>
      </w:r>
    </w:p>
    <w:p w14:paraId="13BC544D" w14:textId="4E199AD4" w:rsidR="00316B64" w:rsidRDefault="00316B64" w:rsidP="00316B64">
      <w:pPr>
        <w:pStyle w:val="Quote"/>
      </w:pPr>
      <w:r>
        <w:t>#IMG provinces: Medieval Denmark was divided into three provinces (</w:t>
      </w:r>
      <w:r>
        <w:rPr>
          <w:i/>
          <w:iCs/>
        </w:rPr>
        <w:t>landskaber</w:t>
      </w:r>
      <w:r>
        <w:t>), each with its own provincial law (</w:t>
      </w:r>
      <w:r>
        <w:rPr>
          <w:i/>
          <w:iCs/>
        </w:rPr>
        <w:t>landskabslov</w:t>
      </w:r>
      <w:r>
        <w:t>).#</w:t>
      </w:r>
    </w:p>
    <w:p w14:paraId="2FA48595" w14:textId="46B42C96" w:rsidR="002E26DA" w:rsidRDefault="002E26DA" w:rsidP="004F00A1">
      <w:pPr>
        <w:pStyle w:val="Body"/>
      </w:pPr>
      <w:r>
        <w:t>Unlike the provinces to the east and west, the province of Zealand had two provincial laws: King Valdemar’s Zealand Law (</w:t>
      </w:r>
      <w:r>
        <w:rPr>
          <w:i/>
          <w:iCs/>
        </w:rPr>
        <w:t>Valdemars sjællandske lov</w:t>
      </w:r>
      <w:r>
        <w:t>) King Erik’s Zealand Law (</w:t>
      </w:r>
      <w:r>
        <w:rPr>
          <w:i/>
          <w:iCs/>
        </w:rPr>
        <w:t>Eriks sjællandske lov</w:t>
      </w:r>
      <w:r>
        <w:t xml:space="preserve">). The exact connection between these two is unclear, but it seems King Erik’s law was meant as an update to King Valdemar’s. Notably neither law can be fully attributed to the king after which it is named; especially </w:t>
      </w:r>
      <w:r>
        <w:rPr>
          <w:i/>
          <w:iCs/>
        </w:rPr>
        <w:t>Valdemar</w:t>
      </w:r>
      <w:r>
        <w:t xml:space="preserve"> could refer to any number of kings.</w:t>
      </w:r>
    </w:p>
    <w:p w14:paraId="49DFB268" w14:textId="77777777" w:rsidR="00F0272D" w:rsidRDefault="001A7416" w:rsidP="004F00A1">
      <w:pPr>
        <w:pStyle w:val="Body"/>
      </w:pPr>
      <w:r>
        <w:t>The two laws for Zealand are also frequently found together in manuscripts from the Late Middle Ages, though not always. The paper manuscript AM 25 4to, written at the end of the fifteenth century, only contains the younger of the two laws, King Erik’s Zealand</w:t>
      </w:r>
      <w:r w:rsidR="003A7A1E">
        <w:t xml:space="preserve"> Law. </w:t>
      </w:r>
    </w:p>
    <w:p w14:paraId="15C82588" w14:textId="258AAE17" w:rsidR="001A7416" w:rsidRPr="00F0272D" w:rsidRDefault="00F0272D" w:rsidP="00F0272D">
      <w:pPr>
        <w:pStyle w:val="Body"/>
      </w:pPr>
      <w:r>
        <w:t>Following this provincial law is the Zealand Ecclesiastical Law (</w:t>
      </w:r>
      <w:r>
        <w:rPr>
          <w:i/>
          <w:iCs/>
        </w:rPr>
        <w:t>Sjællandske kirkelov</w:t>
      </w:r>
      <w:r>
        <w:t xml:space="preserve">), a set of regulations regarding the dedication of churches, tithing, and other ecclesiastical considerations. The tone of the manuscript then shifts back to the secular </w:t>
      </w:r>
      <w:r>
        <w:lastRenderedPageBreak/>
        <w:t xml:space="preserve">with two royal </w:t>
      </w:r>
      <w:r w:rsidRPr="00F0272D">
        <w:t xml:space="preserve">treatises: </w:t>
      </w:r>
      <w:r>
        <w:t>The first</w:t>
      </w:r>
      <w:r w:rsidRPr="00F0272D">
        <w:t xml:space="preserve"> from King Erik IV Plowpenny dated 1244 and the second from King Olaf II dated “one thousand, three hundred, three score and sixteen” </w:t>
      </w:r>
      <w:r>
        <w:t>(</w:t>
      </w:r>
      <w:r>
        <w:rPr>
          <w:i/>
          <w:iCs/>
        </w:rPr>
        <w:t>aar twsendæ oc try hundretæ try synnæ tiwæ oc sexten</w:t>
      </w:r>
      <w:r>
        <w:t>) — that is, 1376.</w:t>
      </w:r>
    </w:p>
    <w:p w14:paraId="1B13A8B9" w14:textId="544566EB" w:rsidR="001A7416" w:rsidRDefault="001A7416" w:rsidP="004F00A1">
      <w:pPr>
        <w:pStyle w:val="Body"/>
      </w:pPr>
      <w:r>
        <w:t>These legal texts for the province of Zealand form the bulk of the manuscript’s 133 leaves, being written on ff. 2r-98r and all in the same hand. The opening text of this legal compendium, also written in the same hand, is not a Zealandic text, but rather the Prologue to the Law Code of Jutland.</w:t>
      </w:r>
    </w:p>
    <w:p w14:paraId="5F0C429B" w14:textId="14A08979" w:rsidR="005A7092" w:rsidRDefault="001A7416" w:rsidP="001A7416">
      <w:pPr>
        <w:pStyle w:val="Body"/>
      </w:pPr>
      <w:r>
        <w:t>The westernmost provincial law, the Law Code of Jutland (</w:t>
      </w:r>
      <w:r>
        <w:rPr>
          <w:i/>
          <w:iCs/>
        </w:rPr>
        <w:t>Jyske lov</w:t>
      </w:r>
      <w:r>
        <w:t xml:space="preserve">) is </w:t>
      </w:r>
      <w:r w:rsidR="005C6FCB">
        <w:t xml:space="preserve">undoubtedly the most well known among Danes today thanks to the opening words of its preface, </w:t>
      </w:r>
      <w:r w:rsidR="005C6FCB">
        <w:rPr>
          <w:i/>
          <w:iCs/>
        </w:rPr>
        <w:t>Med lov skal land bygges</w:t>
      </w:r>
      <w:r w:rsidR="005C6FCB">
        <w:t xml:space="preserve"> (“With law shall the land be built”).</w:t>
      </w:r>
      <w:r w:rsidR="002E26DA">
        <w:t xml:space="preserve"> </w:t>
      </w:r>
      <w:r w:rsidR="005A7092">
        <w:t xml:space="preserve">These opening words and the preface containing them were also </w:t>
      </w:r>
      <w:r w:rsidR="00F0272D">
        <w:t>well known</w:t>
      </w:r>
      <w:r w:rsidR="005A7092">
        <w:t xml:space="preserve"> in the Middle Ages, and </w:t>
      </w:r>
      <w:r w:rsidR="00316B64">
        <w:t>although</w:t>
      </w:r>
      <w:r w:rsidR="005A7092">
        <w:t xml:space="preserve"> </w:t>
      </w:r>
      <w:r w:rsidR="00316B64">
        <w:t>the Prologue</w:t>
      </w:r>
      <w:r w:rsidR="005A7092">
        <w:t xml:space="preserve"> properly belong</w:t>
      </w:r>
      <w:r w:rsidR="00316B64">
        <w:t>s</w:t>
      </w:r>
      <w:r w:rsidR="005A7092">
        <w:t xml:space="preserve"> to the Jutland Law, </w:t>
      </w:r>
      <w:r w:rsidR="00316B64">
        <w:t>it</w:t>
      </w:r>
      <w:r w:rsidR="005A7092">
        <w:t xml:space="preserve"> is frequently found in manuscripts containing other Danish provincial laws as a sort of general preface to Danish legal texts.</w:t>
      </w:r>
    </w:p>
    <w:p w14:paraId="4FA7FAA2" w14:textId="4C1A62D5" w:rsidR="00316B64" w:rsidRDefault="00316B64" w:rsidP="00316B64">
      <w:pPr>
        <w:pStyle w:val="Quote"/>
      </w:pPr>
      <w:r>
        <w:t>#</w:t>
      </w:r>
      <w:r>
        <w:t>IMG</w:t>
      </w:r>
      <w:r>
        <w:t xml:space="preserve"> </w:t>
      </w:r>
      <w:r>
        <w:t>(</w:t>
      </w:r>
      <w:r>
        <w:t>f.2r</w:t>
      </w:r>
      <w:r>
        <w:t>)</w:t>
      </w:r>
      <w:r>
        <w:t xml:space="preserve">: </w:t>
      </w:r>
      <w:r>
        <w:t>King Erik’s Zealand Law begins near the bottom of f. 2r immediately following the Prologue to the Law Code of Jutland. Rather than beginning with a large, decorated initial, the law code opens with a simple rubric “Here begins a chapter of Zealand’s lawbook”. In the righthand margin, the note “First book” is also found.#</w:t>
      </w:r>
    </w:p>
    <w:p w14:paraId="624BA927" w14:textId="0CEF687F" w:rsidR="002E26DA" w:rsidRDefault="005A7092" w:rsidP="005A7092">
      <w:pPr>
        <w:pStyle w:val="Body"/>
      </w:pPr>
      <w:r>
        <w:t>The Prologue to the Law Code of Jutland is self-dated to 1241 under King</w:t>
      </w:r>
      <w:r w:rsidR="00316B64">
        <w:t xml:space="preserve"> Valdermar II the Victorious.</w:t>
      </w:r>
      <w:r>
        <w:t xml:space="preserve"> According to the Prologue itself, the establishement of the Jutland Law was witnessed by bishops from across Denmark — from Lund in the east to Hedeby in the south and Viborg in the north. Of these</w:t>
      </w:r>
      <w:r w:rsidR="002E26DA">
        <w:t>, only Viborg is still in Denmark, and is one of modern Denmark’s nine bishoprics.</w:t>
      </w:r>
      <w:r>
        <w:t xml:space="preserve"> Lund, on the other hand, is today in southern Sweden, though in the middle ages was the urban center of East Denmark.</w:t>
      </w:r>
    </w:p>
    <w:p w14:paraId="2A8AFDCE" w14:textId="77777777" w:rsidR="00D70719" w:rsidRDefault="00D70719" w:rsidP="005A7092">
      <w:pPr>
        <w:pStyle w:val="Body"/>
        <w:ind w:firstLine="0"/>
      </w:pPr>
    </w:p>
    <w:p w14:paraId="4EB002EC" w14:textId="47F6795F" w:rsidR="00D70719" w:rsidRDefault="002E26DA" w:rsidP="002E26DA">
      <w:pPr>
        <w:pStyle w:val="Heading"/>
      </w:pPr>
      <w:r>
        <w:t>East of the Øresund</w:t>
      </w:r>
    </w:p>
    <w:p w14:paraId="1BA6E5B2" w14:textId="3A69FA6B" w:rsidR="001A7416" w:rsidRDefault="005A7092" w:rsidP="001A7416">
      <w:pPr>
        <w:pStyle w:val="Body"/>
      </w:pPr>
      <w:r>
        <w:t xml:space="preserve">From a medieval perspective, </w:t>
      </w:r>
      <w:r w:rsidR="001A7416">
        <w:t xml:space="preserve">East Denmark </w:t>
      </w:r>
      <w:r>
        <w:t>refers</w:t>
      </w:r>
      <w:r w:rsidR="001A7416">
        <w:t xml:space="preserve"> to the portion of Denmark to the east of the Øresund sound. This included the provinces of Scania, Halland and Blekinge, which today are part of Sweden</w:t>
      </w:r>
      <w:r>
        <w:t>, as well as the island of Bornholm</w:t>
      </w:r>
      <w:r w:rsidR="001A7416">
        <w:t>. Collectively these areas all belonged to a single medieval province of Denmark under the umbrella name Scania.</w:t>
      </w:r>
    </w:p>
    <w:p w14:paraId="78CF2BAB" w14:textId="5B6B3754" w:rsidR="003A6701" w:rsidRDefault="002E26DA" w:rsidP="002E26DA">
      <w:pPr>
        <w:pStyle w:val="Body"/>
      </w:pPr>
      <w:r>
        <w:t xml:space="preserve">One of the texts in AM 25 4to originates from this former part of Denmark: The Scanian </w:t>
      </w:r>
      <w:r w:rsidR="003A6701">
        <w:t>Merchant Town</w:t>
      </w:r>
      <w:r>
        <w:t xml:space="preserve"> Law (</w:t>
      </w:r>
      <w:r>
        <w:rPr>
          <w:i/>
          <w:iCs/>
        </w:rPr>
        <w:t>Skånske købstadsret</w:t>
      </w:r>
      <w:r>
        <w:t>)</w:t>
      </w:r>
      <w:r w:rsidR="003A6701">
        <w:t>, which</w:t>
      </w:r>
      <w:r>
        <w:t xml:space="preserve"> outlines the privileges and requirements for merchant towns in the area. </w:t>
      </w:r>
    </w:p>
    <w:p w14:paraId="5CFC8A91" w14:textId="2FB07A9A" w:rsidR="003A6701" w:rsidRPr="003A6701" w:rsidRDefault="003A6701" w:rsidP="002E26DA">
      <w:pPr>
        <w:pStyle w:val="Body"/>
      </w:pPr>
      <w:r>
        <w:lastRenderedPageBreak/>
        <w:t xml:space="preserve">The text opens with a rubric “This is the law which is called </w:t>
      </w:r>
      <w:r>
        <w:rPr>
          <w:i/>
          <w:iCs/>
        </w:rPr>
        <w:t>Birkeret</w:t>
      </w:r>
      <w:r>
        <w:t>” (</w:t>
      </w:r>
      <w:r>
        <w:rPr>
          <w:i/>
          <w:iCs/>
        </w:rPr>
        <w:t>Thette ær then ræth som man kaller berke ræt</w:t>
      </w:r>
      <w:r>
        <w:t xml:space="preserve">). The name </w:t>
      </w:r>
      <w:r>
        <w:rPr>
          <w:i/>
          <w:iCs/>
        </w:rPr>
        <w:t>Birkeret</w:t>
      </w:r>
      <w:r>
        <w:t xml:space="preserve"> (sometimes translated “Bjarkey laws”) is the same as the Old West Norse </w:t>
      </w:r>
      <w:r>
        <w:rPr>
          <w:i/>
          <w:iCs/>
        </w:rPr>
        <w:t>Bjarkeyarréttr</w:t>
      </w:r>
      <w:r>
        <w:t xml:space="preserve">, a term used for laws which applied to merchant towns in Norway, while similar merchant town laws can be found in Sweden, known as </w:t>
      </w:r>
      <w:r>
        <w:rPr>
          <w:i/>
          <w:iCs/>
        </w:rPr>
        <w:t>Bjärköarätt</w:t>
      </w:r>
      <w:r>
        <w:t>.</w:t>
      </w:r>
    </w:p>
    <w:p w14:paraId="366B35E6" w14:textId="0805148A" w:rsidR="002E26DA" w:rsidRDefault="003A6701" w:rsidP="002E26DA">
      <w:pPr>
        <w:pStyle w:val="Body"/>
      </w:pPr>
      <w:r>
        <w:t>Although the Scanian Merchant Town Laws originally only applied to merchant towns east of the Øresund, in AM 25 4to the text appears to apply to merchant towns in all of Denmark.</w:t>
      </w:r>
    </w:p>
    <w:p w14:paraId="7F0E1F38" w14:textId="77777777" w:rsidR="00235F9A" w:rsidRDefault="00235F9A" w:rsidP="00D70719">
      <w:pPr>
        <w:pStyle w:val="Body"/>
      </w:pPr>
    </w:p>
    <w:p w14:paraId="6EF4D4D0" w14:textId="4874D50B" w:rsidR="00235F9A" w:rsidRDefault="002E26DA" w:rsidP="00235F9A">
      <w:pPr>
        <w:pStyle w:val="Heading"/>
      </w:pPr>
      <w:r>
        <w:t>Where is the border?</w:t>
      </w:r>
    </w:p>
    <w:p w14:paraId="616B4EDA" w14:textId="5FEB7536" w:rsidR="003A6701" w:rsidRDefault="00AA016A" w:rsidP="003A6701">
      <w:pPr>
        <w:pStyle w:val="Body"/>
      </w:pPr>
      <w:r>
        <w:t>As we have seen, the border between Denmark and Sweden was not the Øresund strait as it is today. Instead, there was a land border separating the Danish provinces Scania, Halland and Blekinge from the Swedish provinces Västergötland and Småland. Where that border was exactly, as one might expect, was a matter of debate.</w:t>
      </w:r>
    </w:p>
    <w:p w14:paraId="2CC1A981" w14:textId="0B558FC9" w:rsidR="00733105" w:rsidRPr="00733105" w:rsidRDefault="00AA016A" w:rsidP="003252A9">
      <w:pPr>
        <w:pStyle w:val="Body"/>
      </w:pPr>
      <w:r>
        <w:t>One of the texts in AM 25 4to opens with the rubric “Here begins the border between Denmark and Sweden” (</w:t>
      </w:r>
      <w:r>
        <w:rPr>
          <w:i/>
          <w:iCs/>
        </w:rPr>
        <w:t>Hær effter begynnes skællet mellom danmark oc swerige</w:t>
      </w:r>
      <w:r>
        <w:t>). The text recounts the story of how King Sweyn Forkbeard of Denmark and King Emund “the Bad” of Sweden established the border between their two countries around the year 1050. According to the text, the kings chose twelve representatives</w:t>
      </w:r>
      <w:r w:rsidR="003252A9">
        <w:t xml:space="preserve"> who placed six stones along the border. Unfortunately, these border stones have been lost to time, and their exact placement is still a matter of debate.</w:t>
      </w:r>
    </w:p>
    <w:p w14:paraId="0575E3C1" w14:textId="77777777" w:rsidR="004838FB" w:rsidRDefault="004838FB" w:rsidP="00235F9A">
      <w:pPr>
        <w:pStyle w:val="Body"/>
      </w:pPr>
    </w:p>
    <w:p w14:paraId="33AD0ED8" w14:textId="6D604186" w:rsidR="00643356" w:rsidRDefault="002E26DA" w:rsidP="00733105">
      <w:pPr>
        <w:pStyle w:val="Heading"/>
      </w:pPr>
      <w:r>
        <w:t>What about Bornholm?</w:t>
      </w:r>
    </w:p>
    <w:p w14:paraId="4B59C3DA" w14:textId="6606A2A2" w:rsidR="00733105" w:rsidRDefault="003252A9" w:rsidP="00733105">
      <w:pPr>
        <w:pStyle w:val="Body"/>
      </w:pPr>
      <w:r>
        <w:t>Although most of the new Region East Denmark corresponds to the medieval province of Zealand, the island of Bornholm is an exception. In the middle ages, Bornholm was grouped with Scania, Halland and Blekinge and fell under the jurisdiction of the Scanian Law.</w:t>
      </w:r>
    </w:p>
    <w:p w14:paraId="355A6781" w14:textId="3EB32A9A" w:rsidR="003252A9" w:rsidRDefault="00733105" w:rsidP="005750BA">
      <w:pPr>
        <w:pStyle w:val="Body"/>
      </w:pPr>
      <w:r>
        <w:t xml:space="preserve">Unfortunately </w:t>
      </w:r>
      <w:r w:rsidR="003252A9">
        <w:t>there are no texts</w:t>
      </w:r>
      <w:r>
        <w:t xml:space="preserve"> in AM 25 4to </w:t>
      </w:r>
      <w:r w:rsidR="003252A9">
        <w:t>that directly pertain</w:t>
      </w:r>
      <w:r>
        <w:t xml:space="preserve"> to Bornholm</w:t>
      </w:r>
      <w:r w:rsidR="003252A9">
        <w:t>. However, another Baltic island once under the Danish crown is represented.</w:t>
      </w:r>
      <w:r>
        <w:t xml:space="preserve"> The text immediately preceding the Scanian City Law is the Maritime Law of Visby (</w:t>
      </w:r>
      <w:r>
        <w:rPr>
          <w:i/>
          <w:iCs/>
        </w:rPr>
        <w:t>Visby søret</w:t>
      </w:r>
      <w:r>
        <w:t>)</w:t>
      </w:r>
      <w:r w:rsidR="005750BA">
        <w:t xml:space="preserve">, referring to the </w:t>
      </w:r>
      <w:r w:rsidR="003252A9">
        <w:t xml:space="preserve">merchant town on Gotland. Gotland had been under Danish control since the fourteenth century, though it maintained its own provincial law, </w:t>
      </w:r>
      <w:r w:rsidR="003252A9">
        <w:rPr>
          <w:i/>
          <w:iCs/>
        </w:rPr>
        <w:t>Guta Lag</w:t>
      </w:r>
      <w:r w:rsidR="003252A9">
        <w:t>, until it was ceded to Sweden in 1645.</w:t>
      </w:r>
    </w:p>
    <w:p w14:paraId="2011A65A" w14:textId="0F0E659A" w:rsidR="00EC061D" w:rsidRPr="004838FB" w:rsidRDefault="003252A9" w:rsidP="00EC061D">
      <w:pPr>
        <w:pStyle w:val="Body"/>
      </w:pPr>
      <w:r>
        <w:t xml:space="preserve">Thirteen years later, Denmark ceded its easternmost province to Sweden following </w:t>
      </w:r>
      <w:r w:rsidR="00EC061D">
        <w:t>years of war between the two countries. In 1660, however, Denmark regained control of Bornholm in exchange for the island of Ven (</w:t>
      </w:r>
      <w:r w:rsidR="00EC061D">
        <w:rPr>
          <w:i/>
          <w:iCs/>
        </w:rPr>
        <w:t>Hven</w:t>
      </w:r>
      <w:r w:rsidR="00EC061D">
        <w:t xml:space="preserve">) in the Øresund strait. Thus while it </w:t>
      </w:r>
      <w:r w:rsidR="00EC061D">
        <w:lastRenderedPageBreak/>
        <w:t>might not be represented in the manuscript AM 25 4to, Bornholm holds the unique position as the only part of Denmark to belong to East Denmark in both senses.</w:t>
      </w:r>
    </w:p>
    <w:p w14:paraId="05511F28" w14:textId="0290B7A6" w:rsidR="00733105" w:rsidRPr="004838FB" w:rsidRDefault="00733105" w:rsidP="003252A9">
      <w:pPr>
        <w:pStyle w:val="Body"/>
      </w:pPr>
    </w:p>
    <w:sectPr w:rsidR="00733105" w:rsidRPr="004838FB">
      <w:headerReference w:type="default" r:id="rId7"/>
      <w:pgSz w:w="11906" w:h="16838"/>
      <w:pgMar w:top="2268" w:right="2268" w:bottom="2268" w:left="2268" w:header="709" w:footer="85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AD7C5" w14:textId="77777777" w:rsidR="00C31C8E" w:rsidRDefault="00C31C8E">
      <w:r>
        <w:separator/>
      </w:r>
    </w:p>
  </w:endnote>
  <w:endnote w:type="continuationSeparator" w:id="0">
    <w:p w14:paraId="21E32FA0" w14:textId="77777777" w:rsidR="00C31C8E" w:rsidRDefault="00C31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rill">
    <w:altName w:val="Brill Roman"/>
    <w:panose1 w:val="020B0604020202020204"/>
    <w:charset w:val="00"/>
    <w:family w:val="swiss"/>
    <w:pitch w:val="variable"/>
    <w:sig w:usb0="E00002FF" w:usb1="4200E4FB"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80EA7" w14:textId="77777777" w:rsidR="00C31C8E" w:rsidRDefault="00C31C8E">
      <w:r>
        <w:separator/>
      </w:r>
    </w:p>
  </w:footnote>
  <w:footnote w:type="continuationSeparator" w:id="0">
    <w:p w14:paraId="45EC2D6E" w14:textId="77777777" w:rsidR="00C31C8E" w:rsidRDefault="00C31C8E">
      <w:r>
        <w:continuationSeparator/>
      </w:r>
    </w:p>
  </w:footnote>
  <w:footnote w:type="continuationNotice" w:id="1">
    <w:p w14:paraId="24340D01" w14:textId="77777777" w:rsidR="00C31C8E" w:rsidRDefault="00C31C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B567" w14:textId="77777777" w:rsidR="00E25D5B" w:rsidRDefault="00E25D5B">
    <w:pPr>
      <w:pStyle w:val="HeaderFooter"/>
      <w:tabs>
        <w:tab w:val="clear" w:pos="9020"/>
        <w:tab w:val="center" w:pos="3685"/>
        <w:tab w:val="right" w:pos="7370"/>
      </w:tabs>
    </w:pPr>
    <w:r>
      <w:tab/>
    </w:r>
    <w:r>
      <w:tab/>
    </w:r>
    <w:r w:rsidR="00945509">
      <w:rPr>
        <w:lang w:val="en-US"/>
      </w:rPr>
      <w:t>Vrieland</w:t>
    </w:r>
    <w:r>
      <w:rPr>
        <w:lang w:val="en-US"/>
      </w:rPr>
      <w:t xml:space="preserve"> </w:t>
    </w:r>
    <w:r>
      <w:rPr>
        <w:rFonts w:eastAsia="Brill" w:cs="Brill"/>
      </w:rPr>
      <w:fldChar w:fldCharType="begin"/>
    </w:r>
    <w:r>
      <w:rPr>
        <w:rFonts w:eastAsia="Brill" w:cs="Brill"/>
      </w:rPr>
      <w:instrText xml:space="preserve"> PAGE </w:instrText>
    </w:r>
    <w:r>
      <w:rPr>
        <w:rFonts w:eastAsia="Brill" w:cs="Brill"/>
      </w:rPr>
      <w:fldChar w:fldCharType="separate"/>
    </w:r>
    <w:r w:rsidR="0088366F">
      <w:rPr>
        <w:rFonts w:eastAsia="Brill" w:cs="Brill"/>
        <w:noProof/>
      </w:rPr>
      <w:t>1</w:t>
    </w:r>
    <w:r>
      <w:rPr>
        <w:rFonts w:eastAsia="Brill" w:cs="Bril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4D8C"/>
    <w:multiLevelType w:val="hybridMultilevel"/>
    <w:tmpl w:val="391E7EB4"/>
    <w:lvl w:ilvl="0" w:tplc="A30EDB9A">
      <w:numFmt w:val="bullet"/>
      <w:lvlText w:val="-"/>
      <w:lvlJc w:val="left"/>
      <w:pPr>
        <w:ind w:left="643" w:hanging="360"/>
      </w:pPr>
      <w:rPr>
        <w:rFonts w:ascii="Brill" w:eastAsia="Arial Unicode MS" w:hAnsi="Brill" w:cs="Arial Unicode MS" w:hint="default"/>
      </w:rPr>
    </w:lvl>
    <w:lvl w:ilvl="1" w:tplc="04090003" w:tentative="1">
      <w:start w:val="1"/>
      <w:numFmt w:val="bullet"/>
      <w:lvlText w:val="o"/>
      <w:lvlJc w:val="left"/>
      <w:pPr>
        <w:ind w:left="1363" w:hanging="360"/>
      </w:pPr>
      <w:rPr>
        <w:rFonts w:ascii="Courier New" w:hAnsi="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25EF0393"/>
    <w:multiLevelType w:val="hybridMultilevel"/>
    <w:tmpl w:val="6584DD16"/>
    <w:lvl w:ilvl="0" w:tplc="7BD65BCE">
      <w:start w:val="10"/>
      <w:numFmt w:val="bullet"/>
      <w:lvlText w:val=""/>
      <w:lvlJc w:val="left"/>
      <w:pPr>
        <w:ind w:left="643" w:hanging="360"/>
      </w:pPr>
      <w:rPr>
        <w:rFonts w:ascii="Wingdings" w:eastAsia="Arial Unicode MS" w:hAnsi="Wingdings" w:cs="Arial Unicode MS"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2" w15:restartNumberingAfterBreak="0">
    <w:nsid w:val="65985052"/>
    <w:multiLevelType w:val="hybridMultilevel"/>
    <w:tmpl w:val="B5504786"/>
    <w:lvl w:ilvl="0" w:tplc="1EFAB072">
      <w:numFmt w:val="bullet"/>
      <w:lvlText w:val="-"/>
      <w:lvlJc w:val="left"/>
      <w:pPr>
        <w:ind w:left="683" w:hanging="360"/>
      </w:pPr>
      <w:rPr>
        <w:rFonts w:ascii="Brill" w:eastAsia="Arial Unicode MS" w:hAnsi="Brill" w:cs="Arial Unicode MS" w:hint="default"/>
      </w:rPr>
    </w:lvl>
    <w:lvl w:ilvl="1" w:tplc="04090003" w:tentative="1">
      <w:start w:val="1"/>
      <w:numFmt w:val="bullet"/>
      <w:lvlText w:val="o"/>
      <w:lvlJc w:val="left"/>
      <w:pPr>
        <w:ind w:left="1403" w:hanging="360"/>
      </w:pPr>
      <w:rPr>
        <w:rFonts w:ascii="Courier New" w:hAnsi="Courier New" w:hint="default"/>
      </w:rPr>
    </w:lvl>
    <w:lvl w:ilvl="2" w:tplc="04090005" w:tentative="1">
      <w:start w:val="1"/>
      <w:numFmt w:val="bullet"/>
      <w:lvlText w:val=""/>
      <w:lvlJc w:val="left"/>
      <w:pPr>
        <w:ind w:left="2123" w:hanging="360"/>
      </w:pPr>
      <w:rPr>
        <w:rFonts w:ascii="Wingdings" w:hAnsi="Wingdings" w:hint="default"/>
      </w:rPr>
    </w:lvl>
    <w:lvl w:ilvl="3" w:tplc="04090001" w:tentative="1">
      <w:start w:val="1"/>
      <w:numFmt w:val="bullet"/>
      <w:lvlText w:val=""/>
      <w:lvlJc w:val="left"/>
      <w:pPr>
        <w:ind w:left="2843" w:hanging="360"/>
      </w:pPr>
      <w:rPr>
        <w:rFonts w:ascii="Symbol" w:hAnsi="Symbol" w:hint="default"/>
      </w:rPr>
    </w:lvl>
    <w:lvl w:ilvl="4" w:tplc="04090003" w:tentative="1">
      <w:start w:val="1"/>
      <w:numFmt w:val="bullet"/>
      <w:lvlText w:val="o"/>
      <w:lvlJc w:val="left"/>
      <w:pPr>
        <w:ind w:left="3563" w:hanging="360"/>
      </w:pPr>
      <w:rPr>
        <w:rFonts w:ascii="Courier New" w:hAnsi="Courier New" w:hint="default"/>
      </w:rPr>
    </w:lvl>
    <w:lvl w:ilvl="5" w:tplc="04090005" w:tentative="1">
      <w:start w:val="1"/>
      <w:numFmt w:val="bullet"/>
      <w:lvlText w:val=""/>
      <w:lvlJc w:val="left"/>
      <w:pPr>
        <w:ind w:left="4283" w:hanging="360"/>
      </w:pPr>
      <w:rPr>
        <w:rFonts w:ascii="Wingdings" w:hAnsi="Wingdings" w:hint="default"/>
      </w:rPr>
    </w:lvl>
    <w:lvl w:ilvl="6" w:tplc="04090001" w:tentative="1">
      <w:start w:val="1"/>
      <w:numFmt w:val="bullet"/>
      <w:lvlText w:val=""/>
      <w:lvlJc w:val="left"/>
      <w:pPr>
        <w:ind w:left="5003" w:hanging="360"/>
      </w:pPr>
      <w:rPr>
        <w:rFonts w:ascii="Symbol" w:hAnsi="Symbol" w:hint="default"/>
      </w:rPr>
    </w:lvl>
    <w:lvl w:ilvl="7" w:tplc="04090003" w:tentative="1">
      <w:start w:val="1"/>
      <w:numFmt w:val="bullet"/>
      <w:lvlText w:val="o"/>
      <w:lvlJc w:val="left"/>
      <w:pPr>
        <w:ind w:left="5723" w:hanging="360"/>
      </w:pPr>
      <w:rPr>
        <w:rFonts w:ascii="Courier New" w:hAnsi="Courier New" w:hint="default"/>
      </w:rPr>
    </w:lvl>
    <w:lvl w:ilvl="8" w:tplc="04090005" w:tentative="1">
      <w:start w:val="1"/>
      <w:numFmt w:val="bullet"/>
      <w:lvlText w:val=""/>
      <w:lvlJc w:val="left"/>
      <w:pPr>
        <w:ind w:left="6443" w:hanging="360"/>
      </w:pPr>
      <w:rPr>
        <w:rFonts w:ascii="Wingdings" w:hAnsi="Wingdings" w:hint="default"/>
      </w:rPr>
    </w:lvl>
  </w:abstractNum>
  <w:abstractNum w:abstractNumId="3" w15:restartNumberingAfterBreak="0">
    <w:nsid w:val="78CF00E8"/>
    <w:multiLevelType w:val="multilevel"/>
    <w:tmpl w:val="E06AC2BC"/>
    <w:lvl w:ilvl="0">
      <w:start w:val="1"/>
      <w:numFmt w:val="decimal"/>
      <w:lvlText w:val="%1."/>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007244044">
    <w:abstractNumId w:val="3"/>
  </w:num>
  <w:num w:numId="2" w16cid:durableId="2067223358">
    <w:abstractNumId w:val="3"/>
    <w:lvlOverride w:ilvl="0">
      <w:startOverride w:val="1"/>
      <w:lvl w:ilvl="0">
        <w:start w:val="1"/>
        <w:numFmt w:val="decimal"/>
        <w:lvlText w:val="(%1)"/>
        <w:lvlJc w:val="left"/>
        <w:pPr>
          <w:tabs>
            <w:tab w:val="num" w:pos="850"/>
          </w:tabs>
          <w:ind w:left="1701" w:hanging="14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tabs>
            <w:tab w:val="num" w:pos="1003"/>
          </w:tabs>
          <w:ind w:left="1853" w:hanging="113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3)"/>
        <w:lvlJc w:val="left"/>
        <w:pPr>
          <w:tabs>
            <w:tab w:val="num" w:pos="1723"/>
          </w:tabs>
          <w:ind w:left="2573" w:hanging="113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4)"/>
        <w:lvlJc w:val="left"/>
        <w:pPr>
          <w:tabs>
            <w:tab w:val="num" w:pos="2443"/>
          </w:tabs>
          <w:ind w:left="3293" w:hanging="113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5)"/>
        <w:lvlJc w:val="left"/>
        <w:pPr>
          <w:tabs>
            <w:tab w:val="num" w:pos="3163"/>
          </w:tabs>
          <w:ind w:left="4013" w:hanging="113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6)"/>
        <w:lvlJc w:val="left"/>
        <w:pPr>
          <w:tabs>
            <w:tab w:val="num" w:pos="3883"/>
          </w:tabs>
          <w:ind w:left="4733" w:hanging="113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7)"/>
        <w:lvlJc w:val="left"/>
        <w:pPr>
          <w:tabs>
            <w:tab w:val="num" w:pos="4603"/>
          </w:tabs>
          <w:ind w:left="5453" w:hanging="113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8)"/>
        <w:lvlJc w:val="left"/>
        <w:pPr>
          <w:tabs>
            <w:tab w:val="num" w:pos="5323"/>
          </w:tabs>
          <w:ind w:left="6173" w:hanging="113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9)"/>
        <w:lvlJc w:val="left"/>
        <w:pPr>
          <w:tabs>
            <w:tab w:val="num" w:pos="6043"/>
          </w:tabs>
          <w:ind w:left="6893" w:hanging="113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16cid:durableId="616638356">
    <w:abstractNumId w:val="2"/>
  </w:num>
  <w:num w:numId="4" w16cid:durableId="952322499">
    <w:abstractNumId w:val="0"/>
  </w:num>
  <w:num w:numId="5" w16cid:durableId="1073966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attachedTemplate r:id="rId1"/>
  <w:defaultTabStop w:val="720"/>
  <w:hyphenationZone w:val="425"/>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0A1"/>
    <w:rsid w:val="00020C34"/>
    <w:rsid w:val="000534A3"/>
    <w:rsid w:val="00061813"/>
    <w:rsid w:val="000A27A2"/>
    <w:rsid w:val="000B263A"/>
    <w:rsid w:val="000E66C7"/>
    <w:rsid w:val="000E7FA2"/>
    <w:rsid w:val="00115A82"/>
    <w:rsid w:val="00122A34"/>
    <w:rsid w:val="00191405"/>
    <w:rsid w:val="001A7416"/>
    <w:rsid w:val="001D66F0"/>
    <w:rsid w:val="0021306B"/>
    <w:rsid w:val="00235F9A"/>
    <w:rsid w:val="002D4D3C"/>
    <w:rsid w:val="002E26DA"/>
    <w:rsid w:val="002E2807"/>
    <w:rsid w:val="00316B64"/>
    <w:rsid w:val="003252A9"/>
    <w:rsid w:val="003256C8"/>
    <w:rsid w:val="00325B7C"/>
    <w:rsid w:val="0037037A"/>
    <w:rsid w:val="00380295"/>
    <w:rsid w:val="00385469"/>
    <w:rsid w:val="003A6701"/>
    <w:rsid w:val="003A7A1E"/>
    <w:rsid w:val="003C6F86"/>
    <w:rsid w:val="003D29E2"/>
    <w:rsid w:val="00424EA3"/>
    <w:rsid w:val="00426215"/>
    <w:rsid w:val="00463AD8"/>
    <w:rsid w:val="004838FB"/>
    <w:rsid w:val="004943B0"/>
    <w:rsid w:val="004E5994"/>
    <w:rsid w:val="004E660A"/>
    <w:rsid w:val="004F00A1"/>
    <w:rsid w:val="00522C6A"/>
    <w:rsid w:val="00523181"/>
    <w:rsid w:val="005750BA"/>
    <w:rsid w:val="005A7092"/>
    <w:rsid w:val="005C6FCB"/>
    <w:rsid w:val="005D7A5E"/>
    <w:rsid w:val="005E2FE7"/>
    <w:rsid w:val="005E6054"/>
    <w:rsid w:val="00600E19"/>
    <w:rsid w:val="006227F7"/>
    <w:rsid w:val="00643356"/>
    <w:rsid w:val="0068108D"/>
    <w:rsid w:val="0068523D"/>
    <w:rsid w:val="006B7649"/>
    <w:rsid w:val="006D09D8"/>
    <w:rsid w:val="006E6C90"/>
    <w:rsid w:val="00700E82"/>
    <w:rsid w:val="00723910"/>
    <w:rsid w:val="00733105"/>
    <w:rsid w:val="0076348F"/>
    <w:rsid w:val="0078424B"/>
    <w:rsid w:val="00787199"/>
    <w:rsid w:val="007A35B3"/>
    <w:rsid w:val="007A7185"/>
    <w:rsid w:val="007C67B6"/>
    <w:rsid w:val="007F32F2"/>
    <w:rsid w:val="007F5FD0"/>
    <w:rsid w:val="00847942"/>
    <w:rsid w:val="00882C1A"/>
    <w:rsid w:val="0088366F"/>
    <w:rsid w:val="00895626"/>
    <w:rsid w:val="008B3DA7"/>
    <w:rsid w:val="00914EA8"/>
    <w:rsid w:val="00937437"/>
    <w:rsid w:val="009441B3"/>
    <w:rsid w:val="00945509"/>
    <w:rsid w:val="00956176"/>
    <w:rsid w:val="00960E01"/>
    <w:rsid w:val="00963ECE"/>
    <w:rsid w:val="009B2C16"/>
    <w:rsid w:val="009C290E"/>
    <w:rsid w:val="009D02FF"/>
    <w:rsid w:val="009E5383"/>
    <w:rsid w:val="00A9726B"/>
    <w:rsid w:val="00AA016A"/>
    <w:rsid w:val="00AA25CD"/>
    <w:rsid w:val="00AB2FBC"/>
    <w:rsid w:val="00AC2904"/>
    <w:rsid w:val="00AC4A4B"/>
    <w:rsid w:val="00AD4A4C"/>
    <w:rsid w:val="00B76238"/>
    <w:rsid w:val="00BC536B"/>
    <w:rsid w:val="00C13534"/>
    <w:rsid w:val="00C13A02"/>
    <w:rsid w:val="00C1527F"/>
    <w:rsid w:val="00C31C8E"/>
    <w:rsid w:val="00C349F6"/>
    <w:rsid w:val="00C5513A"/>
    <w:rsid w:val="00C81D5F"/>
    <w:rsid w:val="00CB6FF1"/>
    <w:rsid w:val="00CC1D19"/>
    <w:rsid w:val="00CD103A"/>
    <w:rsid w:val="00D269CA"/>
    <w:rsid w:val="00D47E9A"/>
    <w:rsid w:val="00D70719"/>
    <w:rsid w:val="00DA0E29"/>
    <w:rsid w:val="00E25D5B"/>
    <w:rsid w:val="00E350B4"/>
    <w:rsid w:val="00E94D5B"/>
    <w:rsid w:val="00E97774"/>
    <w:rsid w:val="00EA67AE"/>
    <w:rsid w:val="00EB0BEF"/>
    <w:rsid w:val="00EC061D"/>
    <w:rsid w:val="00EC125B"/>
    <w:rsid w:val="00EE615C"/>
    <w:rsid w:val="00EF79C2"/>
    <w:rsid w:val="00F0272D"/>
    <w:rsid w:val="00F23508"/>
    <w:rsid w:val="00FB2B5E"/>
  </w:rsids>
  <m:mathPr>
    <m:mathFont m:val="Cambria Math"/>
    <m:brkBin m:val="before"/>
    <m:brkBinSub m:val="--"/>
    <m:smallFrac m:val="0"/>
    <m:dispDef/>
    <m:lMargin m:val="0"/>
    <m:rMargin m:val="0"/>
    <m:defJc m:val="centerGroup"/>
    <m:wrapIndent m:val="1440"/>
    <m:intLim m:val="subSup"/>
    <m:naryLim m:val="undOvr"/>
  </m:mathPr>
  <w:themeFontLang w:val="da-DK"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08896"/>
  <w15:docId w15:val="{893A6A64-CC9D-3741-9377-F268D801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da-DK"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autoRedefine/>
    <w:qFormat/>
    <w:rsid w:val="005E2FE7"/>
    <w:pPr>
      <w:tabs>
        <w:tab w:val="right" w:pos="9020"/>
      </w:tabs>
    </w:pPr>
    <w:rPr>
      <w:rFonts w:ascii="Brill" w:hAnsi="Brill" w:cs="Arial Unicode MS"/>
      <w:color w:val="000000"/>
      <w:sz w:val="22"/>
      <w:szCs w:val="22"/>
    </w:rPr>
  </w:style>
  <w:style w:type="paragraph" w:styleId="Title">
    <w:name w:val="Title"/>
    <w:next w:val="Subtitle"/>
    <w:qFormat/>
    <w:rsid w:val="005E2FE7"/>
    <w:pPr>
      <w:keepNext/>
      <w:spacing w:line="288" w:lineRule="auto"/>
      <w:jc w:val="center"/>
    </w:pPr>
    <w:rPr>
      <w:rFonts w:ascii="Brill" w:hAnsi="Brill" w:cs="Arial Unicode MS"/>
      <w:b/>
      <w:bCs/>
      <w:color w:val="000000"/>
      <w:sz w:val="40"/>
      <w:szCs w:val="40"/>
      <w:lang w:val="en-US"/>
    </w:rPr>
  </w:style>
  <w:style w:type="paragraph" w:customStyle="1" w:styleId="Body">
    <w:name w:val="Body"/>
    <w:autoRedefine/>
    <w:qFormat/>
    <w:rsid w:val="001A7416"/>
    <w:pPr>
      <w:spacing w:line="288" w:lineRule="auto"/>
      <w:ind w:firstLine="283"/>
    </w:pPr>
    <w:rPr>
      <w:rFonts w:ascii="Brill" w:hAnsi="Brill" w:cs="Arial Unicode MS"/>
      <w:color w:val="000000"/>
      <w:sz w:val="22"/>
      <w:szCs w:val="22"/>
      <w:lang w:val="en-US"/>
    </w:rPr>
  </w:style>
  <w:style w:type="paragraph" w:styleId="Subtitle">
    <w:name w:val="Subtitle"/>
    <w:aliases w:val="Author"/>
    <w:next w:val="Abstract"/>
    <w:autoRedefine/>
    <w:qFormat/>
    <w:rsid w:val="003C6F86"/>
    <w:pPr>
      <w:spacing w:line="288" w:lineRule="auto"/>
      <w:jc w:val="center"/>
    </w:pPr>
    <w:rPr>
      <w:rFonts w:ascii="Brill" w:hAnsi="Brill" w:cs="Arial Unicode MS"/>
      <w:color w:val="000000"/>
      <w:sz w:val="28"/>
      <w:szCs w:val="28"/>
      <w:lang w:val="en-US"/>
    </w:rPr>
  </w:style>
  <w:style w:type="paragraph" w:customStyle="1" w:styleId="Abstract">
    <w:name w:val="Abstract"/>
    <w:autoRedefine/>
    <w:qFormat/>
    <w:rsid w:val="005E2FE7"/>
    <w:pPr>
      <w:spacing w:line="288" w:lineRule="auto"/>
      <w:ind w:left="850" w:right="850"/>
      <w:jc w:val="both"/>
    </w:pPr>
    <w:rPr>
      <w:rFonts w:ascii="Brill" w:hAnsi="Brill" w:cs="Arial Unicode MS"/>
      <w:color w:val="000000"/>
      <w:sz w:val="22"/>
      <w:szCs w:val="22"/>
      <w:lang w:val="it-IT"/>
    </w:rPr>
  </w:style>
  <w:style w:type="paragraph" w:customStyle="1" w:styleId="Heading">
    <w:name w:val="Heading"/>
    <w:next w:val="Body"/>
    <w:autoRedefine/>
    <w:qFormat/>
    <w:rsid w:val="005E2FE7"/>
    <w:pPr>
      <w:outlineLvl w:val="0"/>
    </w:pPr>
    <w:rPr>
      <w:rFonts w:ascii="Brill" w:hAnsi="Brill" w:cs="Arial Unicode MS"/>
      <w:b/>
      <w:bCs/>
      <w:color w:val="000000"/>
      <w:sz w:val="28"/>
      <w:szCs w:val="28"/>
      <w:lang w:val="en-US"/>
    </w:rPr>
  </w:style>
  <w:style w:type="paragraph" w:customStyle="1" w:styleId="Footnote">
    <w:name w:val="Footnote"/>
    <w:autoRedefine/>
    <w:qFormat/>
    <w:rsid w:val="004943B0"/>
    <w:pPr>
      <w:spacing w:line="288" w:lineRule="auto"/>
      <w:jc w:val="both"/>
    </w:pPr>
    <w:rPr>
      <w:rFonts w:ascii="Brill" w:eastAsia="Helvetica" w:hAnsi="Brill" w:cs="Helvetica"/>
      <w:color w:val="000000"/>
      <w:sz w:val="22"/>
      <w:szCs w:val="22"/>
    </w:rPr>
  </w:style>
  <w:style w:type="paragraph" w:customStyle="1" w:styleId="Heading21">
    <w:name w:val="Heading 21"/>
    <w:next w:val="Body"/>
    <w:autoRedefine/>
    <w:qFormat/>
    <w:rsid w:val="00E350B4"/>
    <w:pPr>
      <w:outlineLvl w:val="1"/>
    </w:pPr>
    <w:rPr>
      <w:rFonts w:ascii="Brill" w:hAnsi="Brill" w:cs="Arial Unicode MS"/>
      <w:b/>
      <w:bCs/>
      <w:color w:val="000000"/>
      <w:sz w:val="28"/>
      <w:szCs w:val="28"/>
      <w:lang w:val="en-US"/>
    </w:rPr>
  </w:style>
  <w:style w:type="paragraph" w:styleId="Quote">
    <w:name w:val="Quote"/>
    <w:autoRedefine/>
    <w:qFormat/>
    <w:rsid w:val="00895626"/>
    <w:pPr>
      <w:spacing w:line="288" w:lineRule="auto"/>
      <w:ind w:left="850" w:right="850"/>
      <w:jc w:val="both"/>
    </w:pPr>
    <w:rPr>
      <w:rFonts w:ascii="Brill" w:hAnsi="Brill" w:cs="Arial Unicode MS"/>
      <w:color w:val="000000"/>
      <w:sz w:val="22"/>
      <w:szCs w:val="22"/>
      <w:lang w:val="it-IT"/>
    </w:rPr>
  </w:style>
  <w:style w:type="paragraph" w:customStyle="1" w:styleId="Examples">
    <w:name w:val="Examples"/>
    <w:autoRedefine/>
    <w:qFormat/>
    <w:rsid w:val="005E2FE7"/>
    <w:pPr>
      <w:spacing w:line="288" w:lineRule="auto"/>
      <w:ind w:left="850" w:right="850" w:hanging="850"/>
      <w:jc w:val="both"/>
    </w:pPr>
    <w:rPr>
      <w:rFonts w:ascii="Brill" w:hAnsi="Brill" w:cs="Arial Unicode MS"/>
      <w:color w:val="000000"/>
      <w:sz w:val="22"/>
      <w:szCs w:val="22"/>
      <w:lang w:val="en-US"/>
    </w:rPr>
  </w:style>
  <w:style w:type="paragraph" w:styleId="Bibliography">
    <w:name w:val="Bibliography"/>
    <w:autoRedefine/>
    <w:qFormat/>
    <w:rsid w:val="005E2FE7"/>
    <w:pPr>
      <w:spacing w:line="288" w:lineRule="auto"/>
      <w:ind w:left="283" w:hanging="283"/>
      <w:jc w:val="both"/>
    </w:pPr>
    <w:rPr>
      <w:rFonts w:ascii="Brill" w:eastAsia="Helvetica" w:hAnsi="Brill" w:cs="Helvetica"/>
      <w:color w:val="000000"/>
      <w:sz w:val="22"/>
      <w:szCs w:val="22"/>
    </w:rPr>
  </w:style>
  <w:style w:type="paragraph" w:styleId="FootnoteText">
    <w:name w:val="footnote text"/>
    <w:basedOn w:val="Normal"/>
    <w:link w:val="FootnoteTextChar"/>
    <w:autoRedefine/>
    <w:uiPriority w:val="99"/>
    <w:unhideWhenUsed/>
    <w:qFormat/>
    <w:rsid w:val="00A9726B"/>
    <w:pPr>
      <w:jc w:val="both"/>
    </w:pPr>
    <w:rPr>
      <w:rFonts w:ascii="Brill" w:hAnsi="Brill"/>
      <w:sz w:val="20"/>
    </w:rPr>
  </w:style>
  <w:style w:type="character" w:customStyle="1" w:styleId="FootnoteTextChar">
    <w:name w:val="Footnote Text Char"/>
    <w:basedOn w:val="DefaultParagraphFont"/>
    <w:link w:val="FootnoteText"/>
    <w:uiPriority w:val="99"/>
    <w:rsid w:val="00A9726B"/>
    <w:rPr>
      <w:rFonts w:ascii="Brill" w:hAnsi="Brill"/>
      <w:szCs w:val="24"/>
      <w:lang w:val="en-US" w:eastAsia="en-US"/>
    </w:rPr>
  </w:style>
  <w:style w:type="character" w:styleId="FootnoteReference">
    <w:name w:val="footnote reference"/>
    <w:basedOn w:val="DefaultParagraphFont"/>
    <w:uiPriority w:val="99"/>
    <w:unhideWhenUsed/>
    <w:rsid w:val="00EF79C2"/>
    <w:rPr>
      <w:vertAlign w:val="superscript"/>
    </w:rPr>
  </w:style>
  <w:style w:type="character" w:styleId="UnresolvedMention">
    <w:name w:val="Unresolved Mention"/>
    <w:basedOn w:val="DefaultParagraphFont"/>
    <w:uiPriority w:val="99"/>
    <w:semiHidden/>
    <w:unhideWhenUsed/>
    <w:rsid w:val="000A27A2"/>
    <w:rPr>
      <w:color w:val="605E5C"/>
      <w:shd w:val="clear" w:color="auto" w:fill="E1DFDD"/>
    </w:rPr>
  </w:style>
  <w:style w:type="paragraph" w:styleId="Header">
    <w:name w:val="header"/>
    <w:basedOn w:val="Normal"/>
    <w:link w:val="HeaderChar"/>
    <w:uiPriority w:val="99"/>
    <w:unhideWhenUsed/>
    <w:rsid w:val="00945509"/>
    <w:pPr>
      <w:tabs>
        <w:tab w:val="center" w:pos="4513"/>
        <w:tab w:val="right" w:pos="9026"/>
      </w:tabs>
    </w:pPr>
  </w:style>
  <w:style w:type="character" w:customStyle="1" w:styleId="HeaderChar">
    <w:name w:val="Header Char"/>
    <w:basedOn w:val="DefaultParagraphFont"/>
    <w:link w:val="Header"/>
    <w:uiPriority w:val="99"/>
    <w:rsid w:val="00945509"/>
    <w:rPr>
      <w:sz w:val="24"/>
      <w:szCs w:val="24"/>
      <w:lang w:val="en-US" w:eastAsia="en-US"/>
    </w:rPr>
  </w:style>
  <w:style w:type="paragraph" w:styleId="Footer">
    <w:name w:val="footer"/>
    <w:basedOn w:val="Normal"/>
    <w:link w:val="FooterChar"/>
    <w:uiPriority w:val="99"/>
    <w:unhideWhenUsed/>
    <w:rsid w:val="00945509"/>
    <w:pPr>
      <w:tabs>
        <w:tab w:val="center" w:pos="4513"/>
        <w:tab w:val="right" w:pos="9026"/>
      </w:tabs>
    </w:pPr>
  </w:style>
  <w:style w:type="character" w:customStyle="1" w:styleId="FooterChar">
    <w:name w:val="Footer Char"/>
    <w:basedOn w:val="DefaultParagraphFont"/>
    <w:link w:val="Footer"/>
    <w:uiPriority w:val="99"/>
    <w:rsid w:val="00945509"/>
    <w:rPr>
      <w:sz w:val="24"/>
      <w:szCs w:val="24"/>
      <w:lang w:val="en-US" w:eastAsia="en-US"/>
    </w:rPr>
  </w:style>
  <w:style w:type="character" w:customStyle="1" w:styleId="hypertext-text">
    <w:name w:val="hypertext-text"/>
    <w:basedOn w:val="DefaultParagraphFont"/>
    <w:rsid w:val="00F0272D"/>
  </w:style>
  <w:style w:type="character" w:customStyle="1" w:styleId="apple-converted-space">
    <w:name w:val="apple-converted-space"/>
    <w:basedOn w:val="DefaultParagraphFont"/>
    <w:rsid w:val="00F0272D"/>
  </w:style>
  <w:style w:type="character" w:customStyle="1" w:styleId="hypertext-ex">
    <w:name w:val="hypertext-ex"/>
    <w:basedOn w:val="DefaultParagraphFont"/>
    <w:rsid w:val="00F0272D"/>
  </w:style>
  <w:style w:type="character" w:customStyle="1" w:styleId="hypertext-lb">
    <w:name w:val="hypertext-lb"/>
    <w:basedOn w:val="DefaultParagraphFont"/>
    <w:rsid w:val="00F02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fd989/Library/Group%20Containers/UBF8T346G9.Office/User%20Content.localized/Templates.localized/Articl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179999" algn="just" defTabSz="457200" rtl="0" fontAlgn="auto" latinLnBrk="0" hangingPunct="0">
          <a:lnSpc>
            <a:spcPct val="12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Article.dotx</Template>
  <TotalTime>183</TotalTime>
  <Pages>4</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Nordisk Forskningsinstitut</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Seán Vrieland</cp:lastModifiedBy>
  <cp:revision>6</cp:revision>
  <dcterms:created xsi:type="dcterms:W3CDTF">2025-11-16T08:44:00Z</dcterms:created>
  <dcterms:modified xsi:type="dcterms:W3CDTF">2025-11-18T08:13:00Z</dcterms:modified>
</cp:coreProperties>
</file>