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0C8B" w14:textId="77777777" w:rsidR="008D3B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Pointing Out Manicules: AM 76 8vo</w:t>
      </w:r>
    </w:p>
    <w:p w14:paraId="35470730" w14:textId="77777777" w:rsidR="008D3BEE" w:rsidRDefault="008D3BEE">
      <w:pPr>
        <w:rPr>
          <w:rFonts w:ascii="Times New Roman" w:eastAsia="Times New Roman" w:hAnsi="Times New Roman" w:cs="Times New Roman"/>
          <w:sz w:val="24"/>
          <w:szCs w:val="24"/>
        </w:rPr>
      </w:pPr>
    </w:p>
    <w:p w14:paraId="00EB9C5A"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Manuscript of the Month:</w:t>
      </w:r>
      <w:r>
        <w:rPr>
          <w:rFonts w:ascii="Times New Roman" w:eastAsia="Times New Roman" w:hAnsi="Times New Roman" w:cs="Times New Roman"/>
          <w:sz w:val="24"/>
          <w:szCs w:val="24"/>
        </w:rPr>
        <w:t xml:space="preserve"> Marginal annotations are a popular way to interact with a text; AM 76 8vo showcases manicules, a form of marginalia that literally gets the point across.</w:t>
      </w:r>
    </w:p>
    <w:p w14:paraId="69D9C8FD" w14:textId="77777777" w:rsidR="008D3BEE" w:rsidRDefault="008D3BEE">
      <w:pPr>
        <w:rPr>
          <w:rFonts w:ascii="Times New Roman" w:eastAsia="Times New Roman" w:hAnsi="Times New Roman" w:cs="Times New Roman"/>
          <w:sz w:val="24"/>
          <w:szCs w:val="24"/>
        </w:rPr>
      </w:pPr>
    </w:p>
    <w:p w14:paraId="630076C3" w14:textId="77777777" w:rsidR="008D3B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E6FA3FC" wp14:editId="6BF2A853">
            <wp:extent cx="4648200" cy="46386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48200" cy="4638675"/>
                    </a:xfrm>
                    <a:prstGeom prst="rect">
                      <a:avLst/>
                    </a:prstGeom>
                    <a:ln/>
                  </pic:spPr>
                </pic:pic>
              </a:graphicData>
            </a:graphic>
          </wp:inline>
        </w:drawing>
      </w:r>
    </w:p>
    <w:p w14:paraId="23D90EE1" w14:textId="77777777" w:rsidR="008D3B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The six manicules found in AM 76 8vo (Photo compilation: Arendse Lund)</w:t>
      </w:r>
    </w:p>
    <w:p w14:paraId="591C80C3" w14:textId="77777777" w:rsidR="008D3BEE" w:rsidRDefault="008D3BEE">
      <w:pPr>
        <w:rPr>
          <w:rFonts w:ascii="Times New Roman" w:eastAsia="Times New Roman" w:hAnsi="Times New Roman" w:cs="Times New Roman"/>
          <w:sz w:val="24"/>
          <w:szCs w:val="24"/>
        </w:rPr>
      </w:pPr>
    </w:p>
    <w:p w14:paraId="3584AD6E" w14:textId="77777777" w:rsidR="008D3BEE" w:rsidRDefault="008D3BEE">
      <w:pPr>
        <w:rPr>
          <w:rFonts w:ascii="Times New Roman" w:eastAsia="Times New Roman" w:hAnsi="Times New Roman" w:cs="Times New Roman"/>
          <w:sz w:val="24"/>
          <w:szCs w:val="24"/>
        </w:rPr>
      </w:pPr>
    </w:p>
    <w:p w14:paraId="3DFE20B7" w14:textId="70B575EA"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Danish manuscript from the late 15th century, </w:t>
      </w:r>
      <w:hyperlink r:id="rId6" w:anchor="page/Fremra+saurbla%C3%B0+1v/mode/2up" w:history="1">
        <w:r w:rsidR="008D3BEE" w:rsidRPr="00F840C4">
          <w:rPr>
            <w:rStyle w:val="Hyperlink"/>
            <w:rFonts w:ascii="Times New Roman" w:eastAsia="Times New Roman" w:hAnsi="Times New Roman" w:cs="Times New Roman"/>
            <w:sz w:val="24"/>
            <w:szCs w:val="24"/>
          </w:rPr>
          <w:t>AM 76 8vo</w:t>
        </w:r>
      </w:hyperlink>
      <w:r>
        <w:rPr>
          <w:rFonts w:ascii="Times New Roman" w:eastAsia="Times New Roman" w:hAnsi="Times New Roman" w:cs="Times New Roman"/>
          <w:sz w:val="24"/>
          <w:szCs w:val="24"/>
        </w:rPr>
        <w:t xml:space="preserve"> contains fifty-eight different texts, mostly consisting of liturgies, hymns, and charms. </w:t>
      </w:r>
      <w:commentRangeStart w:id="0"/>
      <w:r>
        <w:rPr>
          <w:rFonts w:ascii="Times New Roman" w:eastAsia="Times New Roman" w:hAnsi="Times New Roman" w:cs="Times New Roman"/>
          <w:sz w:val="24"/>
          <w:szCs w:val="24"/>
        </w:rPr>
        <w:t xml:space="preserve">It also contains the only surviving </w:t>
      </w:r>
      <w:r w:rsidR="009B05FC">
        <w:rPr>
          <w:rFonts w:ascii="Times New Roman" w:eastAsia="Times New Roman" w:hAnsi="Times New Roman" w:cs="Times New Roman"/>
          <w:sz w:val="24"/>
          <w:szCs w:val="24"/>
        </w:rPr>
        <w:t xml:space="preserve">manuscript </w:t>
      </w:r>
      <w:r>
        <w:rPr>
          <w:rFonts w:ascii="Times New Roman" w:eastAsia="Times New Roman" w:hAnsi="Times New Roman" w:cs="Times New Roman"/>
          <w:sz w:val="24"/>
          <w:szCs w:val="24"/>
        </w:rPr>
        <w:t xml:space="preserve">copy in Old Danish of </w:t>
      </w:r>
      <w:r w:rsidRPr="00B96B3E">
        <w:rPr>
          <w:rFonts w:ascii="Times New Roman" w:eastAsia="Times New Roman" w:hAnsi="Times New Roman" w:cs="Times New Roman"/>
          <w:i/>
          <w:iCs/>
          <w:sz w:val="24"/>
          <w:szCs w:val="24"/>
        </w:rPr>
        <w:t>Lucidarius</w:t>
      </w:r>
      <w:commentRangeEnd w:id="0"/>
      <w:r w:rsidR="00177D6D" w:rsidRPr="00B96B3E">
        <w:rPr>
          <w:rStyle w:val="CommentReference"/>
          <w:i/>
          <w:iCs/>
        </w:rPr>
        <w:commentReference w:id="0"/>
      </w:r>
      <w:r>
        <w:rPr>
          <w:rFonts w:ascii="Times New Roman" w:eastAsia="Times New Roman" w:hAnsi="Times New Roman" w:cs="Times New Roman"/>
          <w:sz w:val="24"/>
          <w:szCs w:val="24"/>
        </w:rPr>
        <w:t xml:space="preserve">, an anonymous medieval work that detailed religious beliefs and, later, general knowledge. The fact that the manuscript </w:t>
      </w:r>
      <w:r w:rsidR="009B05FC">
        <w:rPr>
          <w:rFonts w:ascii="Times New Roman" w:eastAsia="Times New Roman" w:hAnsi="Times New Roman" w:cs="Times New Roman"/>
          <w:sz w:val="24"/>
          <w:szCs w:val="24"/>
        </w:rPr>
        <w:t xml:space="preserve">contains </w:t>
      </w:r>
      <w:r>
        <w:rPr>
          <w:rFonts w:ascii="Times New Roman" w:eastAsia="Times New Roman" w:hAnsi="Times New Roman" w:cs="Times New Roman"/>
          <w:sz w:val="24"/>
          <w:szCs w:val="24"/>
        </w:rPr>
        <w:t xml:space="preserve">many different </w:t>
      </w:r>
      <w:commentRangeStart w:id="1"/>
      <w:commentRangeStart w:id="2"/>
      <w:commentRangeStart w:id="3"/>
      <w:r>
        <w:rPr>
          <w:rFonts w:ascii="Times New Roman" w:eastAsia="Times New Roman" w:hAnsi="Times New Roman" w:cs="Times New Roman"/>
          <w:sz w:val="24"/>
          <w:szCs w:val="24"/>
        </w:rPr>
        <w:t>works</w:t>
      </w:r>
      <w:commentRangeEnd w:id="1"/>
      <w:r w:rsidR="00177D6D">
        <w:rPr>
          <w:rStyle w:val="CommentReference"/>
        </w:rPr>
        <w:commentReference w:id="1"/>
      </w:r>
      <w:commentRangeEnd w:id="2"/>
      <w:r w:rsidR="000F1CC2">
        <w:rPr>
          <w:rStyle w:val="CommentReference"/>
        </w:rPr>
        <w:commentReference w:id="2"/>
      </w:r>
      <w:commentRangeEnd w:id="3"/>
      <w:r w:rsidR="000F1CC2">
        <w:rPr>
          <w:rStyle w:val="CommentReference"/>
        </w:rPr>
        <w:commentReference w:id="3"/>
      </w:r>
      <w:r>
        <w:rPr>
          <w:rFonts w:ascii="Times New Roman" w:eastAsia="Times New Roman" w:hAnsi="Times New Roman" w:cs="Times New Roman"/>
          <w:sz w:val="24"/>
          <w:szCs w:val="24"/>
        </w:rPr>
        <w:t xml:space="preserve"> is typical for those composed and copied throughout the Middle Ages</w:t>
      </w:r>
      <w:r w:rsidR="00BE46E3">
        <w:rPr>
          <w:rFonts w:ascii="Times New Roman" w:eastAsia="Times New Roman" w:hAnsi="Times New Roman" w:cs="Times New Roman"/>
          <w:sz w:val="24"/>
          <w:szCs w:val="24"/>
        </w:rPr>
        <w:t xml:space="preserve">. (There’s so much going on in this manuscript that this is </w:t>
      </w:r>
      <w:r w:rsidR="00C96505">
        <w:rPr>
          <w:rFonts w:ascii="Times New Roman" w:eastAsia="Times New Roman" w:hAnsi="Times New Roman" w:cs="Times New Roman"/>
          <w:sz w:val="24"/>
          <w:szCs w:val="24"/>
        </w:rPr>
        <w:t xml:space="preserve">even </w:t>
      </w:r>
      <w:r w:rsidR="00BE46E3">
        <w:rPr>
          <w:rFonts w:ascii="Times New Roman" w:eastAsia="Times New Roman" w:hAnsi="Times New Roman" w:cs="Times New Roman"/>
          <w:sz w:val="24"/>
          <w:szCs w:val="24"/>
        </w:rPr>
        <w:t xml:space="preserve">the </w:t>
      </w:r>
      <w:r w:rsidR="00BE46E3" w:rsidRPr="00BE46E3">
        <w:rPr>
          <w:rFonts w:ascii="Times New Roman" w:eastAsia="Times New Roman" w:hAnsi="Times New Roman" w:cs="Times New Roman"/>
          <w:i/>
          <w:iCs/>
          <w:sz w:val="24"/>
          <w:szCs w:val="24"/>
        </w:rPr>
        <w:t>second</w:t>
      </w:r>
      <w:r w:rsidR="00BE46E3">
        <w:rPr>
          <w:rFonts w:ascii="Times New Roman" w:eastAsia="Times New Roman" w:hAnsi="Times New Roman" w:cs="Times New Roman"/>
          <w:sz w:val="24"/>
          <w:szCs w:val="24"/>
        </w:rPr>
        <w:t xml:space="preserve"> time it’s been nominated as Manuscript of the Month; for an overview of the manuscript, you can read </w:t>
      </w:r>
      <w:r w:rsidR="00BE46E3" w:rsidRPr="00BE46E3">
        <w:rPr>
          <w:rFonts w:ascii="Times New Roman" w:eastAsia="Times New Roman" w:hAnsi="Times New Roman" w:cs="Times New Roman"/>
          <w:sz w:val="24"/>
          <w:szCs w:val="24"/>
        </w:rPr>
        <w:t>Britta Olrik Frederiksen</w:t>
      </w:r>
      <w:r w:rsidR="00BE46E3">
        <w:rPr>
          <w:rFonts w:ascii="Times New Roman" w:eastAsia="Times New Roman" w:hAnsi="Times New Roman" w:cs="Times New Roman"/>
          <w:sz w:val="24"/>
          <w:szCs w:val="24"/>
        </w:rPr>
        <w:t>’s post: “</w:t>
      </w:r>
      <w:hyperlink r:id="rId11" w:history="1">
        <w:r w:rsidR="00BE46E3" w:rsidRPr="00BE46E3">
          <w:rPr>
            <w:rStyle w:val="Hyperlink"/>
            <w:rFonts w:ascii="Times New Roman" w:eastAsia="Times New Roman" w:hAnsi="Times New Roman" w:cs="Times New Roman"/>
            <w:sz w:val="24"/>
            <w:szCs w:val="24"/>
          </w:rPr>
          <w:t>A School Teacher’s Handbook</w:t>
        </w:r>
      </w:hyperlink>
      <w:r w:rsidR="00BE46E3">
        <w:rPr>
          <w:rFonts w:ascii="Times New Roman" w:eastAsia="Times New Roman" w:hAnsi="Times New Roman" w:cs="Times New Roman"/>
          <w:sz w:val="24"/>
          <w:szCs w:val="24"/>
        </w:rPr>
        <w:t>.”)</w:t>
      </w:r>
    </w:p>
    <w:p w14:paraId="5939D875" w14:textId="77777777" w:rsidR="008D3BEE" w:rsidRDefault="008D3BEE">
      <w:pPr>
        <w:rPr>
          <w:rFonts w:ascii="Times New Roman" w:eastAsia="Times New Roman" w:hAnsi="Times New Roman" w:cs="Times New Roman"/>
          <w:sz w:val="24"/>
          <w:szCs w:val="24"/>
        </w:rPr>
      </w:pPr>
    </w:p>
    <w:p w14:paraId="1B31E164" w14:textId="6CDC10BC" w:rsidR="008D3BEE" w:rsidRDefault="00000000">
      <w:pPr>
        <w:rPr>
          <w:rFonts w:ascii="Times New Roman" w:eastAsia="Times New Roman" w:hAnsi="Times New Roman" w:cs="Times New Roman"/>
          <w:sz w:val="24"/>
          <w:szCs w:val="24"/>
        </w:rPr>
      </w:pPr>
      <w:commentRangeStart w:id="4"/>
      <w:commentRangeStart w:id="5"/>
      <w:commentRangeStart w:id="6"/>
      <w:commentRangeStart w:id="7"/>
      <w:r>
        <w:rPr>
          <w:rFonts w:ascii="Times New Roman" w:eastAsia="Times New Roman" w:hAnsi="Times New Roman" w:cs="Times New Roman"/>
          <w:sz w:val="24"/>
          <w:szCs w:val="24"/>
        </w:rPr>
        <w:t>While paleographical evidence reveals that multiple scribes worked on the manuscript, it is difficult to determine where precisely one scribal hand ends and another begins</w:t>
      </w:r>
      <w:commentRangeEnd w:id="4"/>
      <w:r w:rsidR="00177D6D">
        <w:rPr>
          <w:rStyle w:val="CommentReference"/>
        </w:rPr>
        <w:commentReference w:id="4"/>
      </w:r>
      <w:commentRangeEnd w:id="5"/>
      <w:r w:rsidR="00C81D5E">
        <w:rPr>
          <w:rStyle w:val="CommentReference"/>
        </w:rPr>
        <w:commentReference w:id="5"/>
      </w:r>
      <w:commentRangeEnd w:id="6"/>
      <w:r w:rsidR="000F1CC2">
        <w:rPr>
          <w:rStyle w:val="CommentReference"/>
        </w:rPr>
        <w:commentReference w:id="6"/>
      </w:r>
      <w:commentRangeEnd w:id="7"/>
      <w:r w:rsidR="00C74462">
        <w:rPr>
          <w:rStyle w:val="CommentReference"/>
        </w:rPr>
        <w:commentReference w:id="7"/>
      </w:r>
      <w:r w:rsidR="00C81D5E">
        <w:rPr>
          <w:rFonts w:ascii="Times New Roman" w:eastAsia="Times New Roman" w:hAnsi="Times New Roman" w:cs="Times New Roman"/>
          <w:sz w:val="24"/>
          <w:szCs w:val="24"/>
        </w:rPr>
        <w:t xml:space="preserve"> (</w:t>
      </w:r>
      <w:r w:rsidR="0021379A">
        <w:rPr>
          <w:rFonts w:ascii="Times New Roman" w:eastAsia="Times New Roman" w:hAnsi="Times New Roman" w:cs="Times New Roman"/>
          <w:sz w:val="24"/>
          <w:szCs w:val="24"/>
        </w:rPr>
        <w:t xml:space="preserve">see </w:t>
      </w:r>
      <w:r w:rsidR="00C81D5E" w:rsidRPr="00C81D5E">
        <w:rPr>
          <w:rFonts w:ascii="Times New Roman" w:eastAsia="Times New Roman" w:hAnsi="Times New Roman" w:cs="Times New Roman"/>
          <w:i/>
          <w:iCs/>
          <w:sz w:val="24"/>
          <w:szCs w:val="24"/>
        </w:rPr>
        <w:t>A Danish Teacher's Manual</w:t>
      </w:r>
      <w:r w:rsidR="0021379A">
        <w:rPr>
          <w:rFonts w:ascii="Times New Roman" w:eastAsia="Times New Roman" w:hAnsi="Times New Roman" w:cs="Times New Roman"/>
          <w:i/>
          <w:iCs/>
          <w:sz w:val="24"/>
          <w:szCs w:val="24"/>
        </w:rPr>
        <w:t xml:space="preserve"> </w:t>
      </w:r>
      <w:r w:rsidR="0021379A" w:rsidRPr="00B96B3E">
        <w:rPr>
          <w:rFonts w:ascii="Times New Roman" w:eastAsia="Times New Roman" w:hAnsi="Times New Roman" w:cs="Times New Roman"/>
          <w:sz w:val="24"/>
          <w:szCs w:val="24"/>
        </w:rPr>
        <w:t>Vol.2</w:t>
      </w:r>
      <w:r w:rsidR="00C81D5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Some of the sections have more cramped writing and others more free flowing, often while using similar letterforms; it is therefore challenging to say whether </w:t>
      </w:r>
      <w:r>
        <w:rPr>
          <w:rFonts w:ascii="Times New Roman" w:eastAsia="Times New Roman" w:hAnsi="Times New Roman" w:cs="Times New Roman"/>
          <w:sz w:val="24"/>
          <w:szCs w:val="24"/>
        </w:rPr>
        <w:lastRenderedPageBreak/>
        <w:t xml:space="preserve">this is evidence of a new scribe at work or the same scribe working more hurriedly (or simply having switched to a new pen nib). </w:t>
      </w:r>
    </w:p>
    <w:p w14:paraId="63A0677B" w14:textId="77777777" w:rsidR="008D3BEE" w:rsidRDefault="008D3BEE">
      <w:pPr>
        <w:rPr>
          <w:rFonts w:ascii="Times New Roman" w:eastAsia="Times New Roman" w:hAnsi="Times New Roman" w:cs="Times New Roman"/>
          <w:sz w:val="24"/>
          <w:szCs w:val="24"/>
        </w:rPr>
      </w:pPr>
    </w:p>
    <w:p w14:paraId="1BAED5B1" w14:textId="77777777" w:rsidR="008D3BEE" w:rsidRDefault="008D3BEE">
      <w:pPr>
        <w:rPr>
          <w:rFonts w:ascii="Times New Roman" w:eastAsia="Times New Roman" w:hAnsi="Times New Roman" w:cs="Times New Roman"/>
          <w:sz w:val="24"/>
          <w:szCs w:val="24"/>
        </w:rPr>
      </w:pPr>
    </w:p>
    <w:p w14:paraId="1D48B262"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3077AE" wp14:editId="796C2E0B">
            <wp:extent cx="5731200" cy="22987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2298700"/>
                    </a:xfrm>
                    <a:prstGeom prst="rect">
                      <a:avLst/>
                    </a:prstGeom>
                    <a:ln/>
                  </pic:spPr>
                </pic:pic>
              </a:graphicData>
            </a:graphic>
          </wp:inline>
        </w:drawing>
      </w:r>
    </w:p>
    <w:p w14:paraId="08F00D3B" w14:textId="77777777" w:rsidR="008D3BEE"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manicule points to the change in poems (AM 76 8vo, f. 9r) </w:t>
      </w:r>
    </w:p>
    <w:p w14:paraId="7C3849AD" w14:textId="77777777" w:rsidR="008D3BEE" w:rsidRDefault="008D3BEE">
      <w:pPr>
        <w:rPr>
          <w:rFonts w:ascii="Times New Roman" w:eastAsia="Times New Roman" w:hAnsi="Times New Roman" w:cs="Times New Roman"/>
          <w:sz w:val="24"/>
          <w:szCs w:val="24"/>
        </w:rPr>
      </w:pPr>
    </w:p>
    <w:p w14:paraId="166F695C"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text appear the marginal annotations, a mix of inscriptions performed both by the scribes and by the later readers. Scribes of the main texts were not always responsible for marginal decorations and annotations, as there were many people involved in a manuscript’s production and transmission. For instance, rubricators were responsible for writing the bits of the text that required red ink, and illuminators were responsible for drawing decorated initials or gilding parts of the manuscripts. Later, readers would interact, often physically, with the manuscript, leaving traces of themselves through marginal doodles or short scribbled notes. The textual history of the manuscript doesn’t end when a scribe finishes the last word of the main text, but continues throughout the reader responses and interactions with the entire manuscript. In the course of this manuscript, there are multiple marginal annotations and images, including notes (f.18r), crosses (f. 18v), flowers (f. 16r), and pen flourishes (f. 62r). There are also manicules.</w:t>
      </w:r>
    </w:p>
    <w:p w14:paraId="4B29BD79" w14:textId="77777777" w:rsidR="008D3BEE" w:rsidRDefault="008D3BEE">
      <w:pPr>
        <w:rPr>
          <w:rFonts w:ascii="Times New Roman" w:eastAsia="Times New Roman" w:hAnsi="Times New Roman" w:cs="Times New Roman"/>
          <w:sz w:val="24"/>
          <w:szCs w:val="24"/>
        </w:rPr>
      </w:pPr>
    </w:p>
    <w:p w14:paraId="1B5696A3"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2F420C" wp14:editId="1E05AF7C">
            <wp:extent cx="5686425" cy="25622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l="830" b="19701"/>
                    <a:stretch>
                      <a:fillRect/>
                    </a:stretch>
                  </pic:blipFill>
                  <pic:spPr>
                    <a:xfrm>
                      <a:off x="0" y="0"/>
                      <a:ext cx="5686425" cy="2562225"/>
                    </a:xfrm>
                    <a:prstGeom prst="rect">
                      <a:avLst/>
                    </a:prstGeom>
                    <a:ln/>
                  </pic:spPr>
                </pic:pic>
              </a:graphicData>
            </a:graphic>
          </wp:inline>
        </w:drawing>
      </w:r>
    </w:p>
    <w:p w14:paraId="63DDB039" w14:textId="77777777" w:rsidR="008D3BEE"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hand in red points to the opening of the alphabetical prayer to the Virgin Mary (AM 76 8vo, f. 11r) </w:t>
      </w:r>
    </w:p>
    <w:p w14:paraId="4ABE5FB6" w14:textId="77777777" w:rsidR="008D3BEE" w:rsidRDefault="008D3BEE">
      <w:pPr>
        <w:rPr>
          <w:rFonts w:ascii="Times New Roman" w:eastAsia="Times New Roman" w:hAnsi="Times New Roman" w:cs="Times New Roman"/>
          <w:sz w:val="24"/>
          <w:szCs w:val="24"/>
        </w:rPr>
      </w:pPr>
    </w:p>
    <w:p w14:paraId="046A9D44"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form of marginalia, manicules are straightforward to identify because they are always shaped like hands. From the Latin word </w:t>
      </w:r>
      <w:r>
        <w:rPr>
          <w:rFonts w:ascii="Times New Roman" w:eastAsia="Times New Roman" w:hAnsi="Times New Roman" w:cs="Times New Roman"/>
          <w:i/>
          <w:sz w:val="24"/>
          <w:szCs w:val="24"/>
        </w:rPr>
        <w:t>manicula</w:t>
      </w:r>
      <w:r>
        <w:rPr>
          <w:rFonts w:ascii="Times New Roman" w:eastAsia="Times New Roman" w:hAnsi="Times New Roman" w:cs="Times New Roman"/>
          <w:sz w:val="24"/>
          <w:szCs w:val="24"/>
        </w:rPr>
        <w:t xml:space="preserve">, meaning “little hand,” manicules can be detailed in their depictions, with intricate sleeve cuffs or anatomically correct fingernails; they can also be simple sketches that only give the impression of a hand and additional fingers. These hands always have extended index fingers (sometimes comically so) that mark significant passages. Why those particular spots are chosen can vary wildly based on who drew the manicules; some examples include emendations or additions, particularly noteworthy passages, or perhaps even favorite bits of text. </w:t>
      </w:r>
    </w:p>
    <w:p w14:paraId="091FEC82" w14:textId="77777777" w:rsidR="008D3BEE" w:rsidRDefault="008D3BEE">
      <w:pPr>
        <w:rPr>
          <w:rFonts w:ascii="Times New Roman" w:eastAsia="Times New Roman" w:hAnsi="Times New Roman" w:cs="Times New Roman"/>
          <w:sz w:val="24"/>
          <w:szCs w:val="24"/>
        </w:rPr>
      </w:pPr>
    </w:p>
    <w:p w14:paraId="28C0F08C"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29FBD1" wp14:editId="74AE5D9C">
            <wp:extent cx="5734050" cy="2505717"/>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19014" b="6250"/>
                    <a:stretch>
                      <a:fillRect/>
                    </a:stretch>
                  </pic:blipFill>
                  <pic:spPr>
                    <a:xfrm>
                      <a:off x="0" y="0"/>
                      <a:ext cx="5734050" cy="2505717"/>
                    </a:xfrm>
                    <a:prstGeom prst="rect">
                      <a:avLst/>
                    </a:prstGeom>
                    <a:ln/>
                  </pic:spPr>
                </pic:pic>
              </a:graphicData>
            </a:graphic>
          </wp:inline>
        </w:drawing>
      </w:r>
    </w:p>
    <w:p w14:paraId="0CD902FA" w14:textId="77777777" w:rsidR="008D3BEE"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 left-handed manicule points to the section on mnemonics (AM 76 8vo, f. 20v)</w:t>
      </w:r>
    </w:p>
    <w:p w14:paraId="7C53FBAC" w14:textId="77777777" w:rsidR="008D3BEE" w:rsidRDefault="008D3BEE">
      <w:pPr>
        <w:rPr>
          <w:rFonts w:ascii="Times New Roman" w:eastAsia="Times New Roman" w:hAnsi="Times New Roman" w:cs="Times New Roman"/>
          <w:sz w:val="20"/>
          <w:szCs w:val="20"/>
        </w:rPr>
      </w:pPr>
    </w:p>
    <w:p w14:paraId="3CEAE0EF" w14:textId="7CE979F2"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Six manicules, drawn by two different people, appear in the margins in the course of the manuscript. The first three manicules appear on folios 9r, 11r, and 20v. When viewed together, a pattern forms: All three of these are the openings of new works. The first manicule (f. 9r)</w:t>
      </w:r>
      <w:r w:rsidR="00C705D2">
        <w:rPr>
          <w:rFonts w:ascii="Times New Roman" w:eastAsia="Times New Roman" w:hAnsi="Times New Roman" w:cs="Times New Roman"/>
          <w:sz w:val="24"/>
          <w:szCs w:val="24"/>
        </w:rPr>
        <w:t>, in red ink,</w:t>
      </w:r>
      <w:r>
        <w:rPr>
          <w:rFonts w:ascii="Times New Roman" w:eastAsia="Times New Roman" w:hAnsi="Times New Roman" w:cs="Times New Roman"/>
          <w:sz w:val="24"/>
          <w:szCs w:val="24"/>
        </w:rPr>
        <w:t xml:space="preserve"> points between lines 11 and 12, where a poem in praise of the Virgin Mary ends and a poem about jealousy and drinking begins. The second manicule (f. 11r), again inked in red, points to the opening of an alphabetical prayer to the Virgin Mary on line 17. The text that precedes this actually ends on the previous page, </w:t>
      </w:r>
      <w:commentRangeStart w:id="8"/>
      <w:r>
        <w:rPr>
          <w:rFonts w:ascii="Times New Roman" w:eastAsia="Times New Roman" w:hAnsi="Times New Roman" w:cs="Times New Roman"/>
          <w:sz w:val="24"/>
          <w:szCs w:val="24"/>
        </w:rPr>
        <w:t>but the alphabetical prayer is first ascribed to Pope Urban V, with indulgence</w:t>
      </w:r>
      <w:commentRangeEnd w:id="8"/>
      <w:r w:rsidR="00C705D2">
        <w:rPr>
          <w:rStyle w:val="CommentReference"/>
        </w:rPr>
        <w:commentReference w:id="8"/>
      </w:r>
      <w:r>
        <w:rPr>
          <w:rFonts w:ascii="Times New Roman" w:eastAsia="Times New Roman" w:hAnsi="Times New Roman" w:cs="Times New Roman"/>
          <w:sz w:val="24"/>
          <w:szCs w:val="24"/>
        </w:rPr>
        <w:t>; the manicule clears any potential confusion by pointing to the formal opening of the alphabetical prayer. The third manicule (f. 20v), inked in both red and black, points to line 20 where a short section on mnemonics begins. In all of these, where the visual difference isn’t stark between the closing of one section and the opening of another, the manicules clarify the organization of the text.</w:t>
      </w:r>
    </w:p>
    <w:p w14:paraId="19C3F696" w14:textId="77777777" w:rsidR="008D3BEE" w:rsidRDefault="008D3BEE">
      <w:pPr>
        <w:rPr>
          <w:rFonts w:ascii="Times New Roman" w:eastAsia="Times New Roman" w:hAnsi="Times New Roman" w:cs="Times New Roman"/>
          <w:sz w:val="24"/>
          <w:szCs w:val="24"/>
        </w:rPr>
      </w:pPr>
    </w:p>
    <w:p w14:paraId="0DD79018"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04A1DF5" wp14:editId="166C3C9D">
            <wp:extent cx="5734050" cy="207096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t="19397" b="19100"/>
                    <a:stretch>
                      <a:fillRect/>
                    </a:stretch>
                  </pic:blipFill>
                  <pic:spPr>
                    <a:xfrm>
                      <a:off x="0" y="0"/>
                      <a:ext cx="5734050" cy="2070962"/>
                    </a:xfrm>
                    <a:prstGeom prst="rect">
                      <a:avLst/>
                    </a:prstGeom>
                    <a:ln/>
                  </pic:spPr>
                </pic:pic>
              </a:graphicData>
            </a:graphic>
          </wp:inline>
        </w:drawing>
      </w:r>
    </w:p>
    <w:p w14:paraId="21BF93A8" w14:textId="77777777" w:rsidR="008D3B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t>A hand with a cross-hatched sleeve points to the text of Lucidarius (AM 76 8vo, f. 60r)</w:t>
      </w:r>
    </w:p>
    <w:p w14:paraId="4D904A94" w14:textId="77777777" w:rsidR="008D3BEE" w:rsidRDefault="008D3BEE">
      <w:pPr>
        <w:rPr>
          <w:rFonts w:ascii="Times New Roman" w:eastAsia="Times New Roman" w:hAnsi="Times New Roman" w:cs="Times New Roman"/>
          <w:sz w:val="24"/>
          <w:szCs w:val="24"/>
        </w:rPr>
      </w:pPr>
    </w:p>
    <w:p w14:paraId="3389F299"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all those manicules appear in the first quarter of the manuscript, we don’t come across the next manicule until we reach the middle half of the manuscript. There, in the span of 12 pages (a similar spread to the first set), we see three manicules, all gesturing towards passages in Lucidarius. The manicules (ff. 60r, 66v, 72r) are now all drawn with black iron gall, not red ink, and exhibit cross-hatched shading on their sleeve cuffs. Two of them have fingernails. All of these manicules direct the reader’s attention to noteworthy passages, as determined by the person who drew them.</w:t>
      </w:r>
    </w:p>
    <w:p w14:paraId="4E2CA176" w14:textId="77777777" w:rsidR="008D3BEE" w:rsidRDefault="008D3BEE">
      <w:pPr>
        <w:rPr>
          <w:rFonts w:ascii="Times New Roman" w:eastAsia="Times New Roman" w:hAnsi="Times New Roman" w:cs="Times New Roman"/>
          <w:sz w:val="24"/>
          <w:szCs w:val="24"/>
        </w:rPr>
      </w:pPr>
    </w:p>
    <w:p w14:paraId="213B0974"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5E0922" wp14:editId="1F913CBD">
            <wp:extent cx="5734050" cy="1943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t="16901" b="25633"/>
                    <a:stretch>
                      <a:fillRect/>
                    </a:stretch>
                  </pic:blipFill>
                  <pic:spPr>
                    <a:xfrm>
                      <a:off x="0" y="0"/>
                      <a:ext cx="5734050" cy="1943100"/>
                    </a:xfrm>
                    <a:prstGeom prst="rect">
                      <a:avLst/>
                    </a:prstGeom>
                    <a:ln/>
                  </pic:spPr>
                </pic:pic>
              </a:graphicData>
            </a:graphic>
          </wp:inline>
        </w:drawing>
      </w:r>
    </w:p>
    <w:p w14:paraId="70E67BF5" w14:textId="77777777" w:rsidR="008D3BEE"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 right hand in the left margin points to the text of Lucidarius (AM 76 8vo, f. 66v)</w:t>
      </w:r>
    </w:p>
    <w:p w14:paraId="552E5785" w14:textId="77777777" w:rsidR="008D3BEE" w:rsidRDefault="008D3BEE">
      <w:pPr>
        <w:rPr>
          <w:rFonts w:ascii="Times New Roman" w:eastAsia="Times New Roman" w:hAnsi="Times New Roman" w:cs="Times New Roman"/>
          <w:sz w:val="24"/>
          <w:szCs w:val="24"/>
        </w:rPr>
      </w:pPr>
    </w:p>
    <w:p w14:paraId="6DE06A59"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 like the first set of manicules, the second set is closely grouped together. However, unlike the first set of manicules, the second set is not drawn by a scribe or rubricator to provide organizational clarity but is instead likely drawn by a reader as a way to demarcate passages of interest. The artistic styles also indicate a similarity between manicules in each set. (Look more closely – the manicules on folios 11r and 20v, for instance, both have six fingers.) What we have here are two different inscribers, with two different motives. </w:t>
      </w:r>
    </w:p>
    <w:p w14:paraId="555CBAC9" w14:textId="77777777" w:rsidR="008D3BEE" w:rsidRDefault="008D3BEE">
      <w:pPr>
        <w:rPr>
          <w:rFonts w:ascii="Times New Roman" w:eastAsia="Times New Roman" w:hAnsi="Times New Roman" w:cs="Times New Roman"/>
          <w:sz w:val="24"/>
          <w:szCs w:val="24"/>
        </w:rPr>
      </w:pPr>
    </w:p>
    <w:p w14:paraId="6176A4EF"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1D3DAE8" wp14:editId="5781AB41">
            <wp:extent cx="5734050" cy="19621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t="11614" b="30028"/>
                    <a:stretch>
                      <a:fillRect/>
                    </a:stretch>
                  </pic:blipFill>
                  <pic:spPr>
                    <a:xfrm>
                      <a:off x="0" y="0"/>
                      <a:ext cx="5734050" cy="1962150"/>
                    </a:xfrm>
                    <a:prstGeom prst="rect">
                      <a:avLst/>
                    </a:prstGeom>
                    <a:ln/>
                  </pic:spPr>
                </pic:pic>
              </a:graphicData>
            </a:graphic>
          </wp:inline>
        </w:drawing>
      </w:r>
    </w:p>
    <w:p w14:paraId="1FA23E97" w14:textId="77777777" w:rsidR="008D3BEE"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 right hand appears to give a thumbs up while pointing to the text of Lucidarius (AM 76 8vo, 72r)</w:t>
      </w:r>
    </w:p>
    <w:p w14:paraId="2E47F18F" w14:textId="77777777" w:rsidR="008D3BEE" w:rsidRDefault="008D3BEE">
      <w:pPr>
        <w:rPr>
          <w:rFonts w:ascii="Times New Roman" w:eastAsia="Times New Roman" w:hAnsi="Times New Roman" w:cs="Times New Roman"/>
          <w:sz w:val="24"/>
          <w:szCs w:val="24"/>
        </w:rPr>
      </w:pPr>
    </w:p>
    <w:p w14:paraId="190AD876" w14:textId="5546DB9E"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Alongside flowers, asterisks, and writing out the word </w:t>
      </w:r>
      <w:r>
        <w:rPr>
          <w:rFonts w:ascii="Times New Roman" w:eastAsia="Times New Roman" w:hAnsi="Times New Roman" w:cs="Times New Roman"/>
          <w:i/>
          <w:sz w:val="24"/>
          <w:szCs w:val="24"/>
        </w:rPr>
        <w:t>nota</w:t>
      </w:r>
      <w:r w:rsidR="00B96B3E">
        <w:rPr>
          <w:rFonts w:ascii="Times New Roman" w:eastAsia="Times New Roman" w:hAnsi="Times New Roman" w:cs="Times New Roman"/>
          <w:i/>
          <w:sz w:val="24"/>
          <w:szCs w:val="24"/>
        </w:rPr>
        <w:t xml:space="preserve"> </w:t>
      </w:r>
      <w:r w:rsidR="00B96B3E" w:rsidRPr="00B96B3E">
        <w:rPr>
          <w:rFonts w:ascii="Times New Roman" w:eastAsia="Times New Roman" w:hAnsi="Times New Roman" w:cs="Times New Roman"/>
          <w:iCs/>
          <w:sz w:val="24"/>
          <w:szCs w:val="24"/>
        </w:rPr>
        <w:t>(‘note’)</w:t>
      </w:r>
      <w:r>
        <w:rPr>
          <w:rFonts w:ascii="Times New Roman" w:eastAsia="Times New Roman" w:hAnsi="Times New Roman" w:cs="Times New Roman"/>
          <w:sz w:val="24"/>
          <w:szCs w:val="24"/>
        </w:rPr>
        <w:t xml:space="preserve">, manicules are one of the primary forms of marginalia throughout the manuscript period. Even after the proliferation of printed books, manicules were seen as an essential element of engagement with the text. Printers and typesetters offered manicules as typographical marks to assist publishers in directing readers’ attention. (As there was no standardization of the term, these were offered under various names such as “pointing hands” or “mutton fists.”) Even now, manicules persist in advertisements and signage, if not in books themselves. </w:t>
      </w:r>
    </w:p>
    <w:p w14:paraId="501EF4B8" w14:textId="77777777" w:rsidR="008D3BEE" w:rsidRDefault="008D3BEE">
      <w:pPr>
        <w:rPr>
          <w:rFonts w:ascii="Times New Roman" w:eastAsia="Times New Roman" w:hAnsi="Times New Roman" w:cs="Times New Roman"/>
          <w:sz w:val="24"/>
          <w:szCs w:val="24"/>
        </w:rPr>
      </w:pPr>
    </w:p>
    <w:p w14:paraId="4E9F061E" w14:textId="77777777" w:rsidR="008D3BEE" w:rsidRDefault="00000000">
      <w:pPr>
        <w:rPr>
          <w:rFonts w:ascii="Times New Roman" w:eastAsia="Times New Roman" w:hAnsi="Times New Roman" w:cs="Times New Roman"/>
          <w:sz w:val="29"/>
          <w:szCs w:val="29"/>
        </w:rPr>
      </w:pPr>
      <w:r>
        <w:rPr>
          <w:rFonts w:ascii="Times New Roman" w:eastAsia="Times New Roman" w:hAnsi="Times New Roman" w:cs="Times New Roman"/>
          <w:color w:val="382C14"/>
          <w:sz w:val="29"/>
          <w:szCs w:val="29"/>
        </w:rPr>
        <w:t xml:space="preserve">☞ </w:t>
      </w:r>
      <w:r>
        <w:rPr>
          <w:rFonts w:ascii="Times New Roman" w:eastAsia="Times New Roman" w:hAnsi="Times New Roman" w:cs="Times New Roman"/>
          <w:sz w:val="24"/>
          <w:szCs w:val="24"/>
        </w:rPr>
        <w:t>Let’s have a show of hands for the humble manicule!</w:t>
      </w:r>
      <w:r>
        <w:rPr>
          <w:rFonts w:ascii="Times New Roman" w:eastAsia="Times New Roman" w:hAnsi="Times New Roman" w:cs="Times New Roman"/>
          <w:sz w:val="29"/>
          <w:szCs w:val="29"/>
        </w:rPr>
        <w:t xml:space="preserve"> ☜</w:t>
      </w:r>
    </w:p>
    <w:p w14:paraId="45BA8D7B" w14:textId="77777777" w:rsidR="008D3BEE" w:rsidRDefault="008D3BEE">
      <w:pPr>
        <w:rPr>
          <w:rFonts w:ascii="Times New Roman" w:eastAsia="Times New Roman" w:hAnsi="Times New Roman" w:cs="Times New Roman"/>
          <w:sz w:val="24"/>
          <w:szCs w:val="24"/>
        </w:rPr>
      </w:pPr>
    </w:p>
    <w:p w14:paraId="20D286B2" w14:textId="77777777" w:rsidR="008D3BEE" w:rsidRDefault="008D3BEE">
      <w:pPr>
        <w:rPr>
          <w:rFonts w:ascii="Times New Roman" w:eastAsia="Times New Roman" w:hAnsi="Times New Roman" w:cs="Times New Roman"/>
          <w:sz w:val="24"/>
          <w:szCs w:val="24"/>
        </w:rPr>
      </w:pPr>
    </w:p>
    <w:p w14:paraId="47861A6E" w14:textId="77777777" w:rsidR="008D3B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EB0B789" w14:textId="77777777" w:rsidR="008D3BEE" w:rsidRDefault="008D3BEE">
      <w:pPr>
        <w:rPr>
          <w:rFonts w:ascii="Times New Roman" w:eastAsia="Times New Roman" w:hAnsi="Times New Roman" w:cs="Times New Roman"/>
          <w:sz w:val="24"/>
          <w:szCs w:val="24"/>
        </w:rPr>
      </w:pPr>
    </w:p>
    <w:p w14:paraId="5C7E1135" w14:textId="77777777" w:rsidR="008D3BEE" w:rsidRDefault="008D3BEE">
      <w:pPr>
        <w:rPr>
          <w:rFonts w:ascii="Times New Roman" w:eastAsia="Times New Roman" w:hAnsi="Times New Roman" w:cs="Times New Roman"/>
          <w:sz w:val="24"/>
          <w:szCs w:val="24"/>
        </w:rPr>
      </w:pPr>
    </w:p>
    <w:p w14:paraId="6B6703A1"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Contact:</w:t>
      </w:r>
      <w:r>
        <w:rPr>
          <w:rFonts w:ascii="Times New Roman" w:eastAsia="Times New Roman" w:hAnsi="Times New Roman" w:cs="Times New Roman"/>
          <w:sz w:val="24"/>
          <w:szCs w:val="24"/>
        </w:rPr>
        <w:t xml:space="preserve"> Arendse Lund is a Marie Skłodowska-Curie Fellow at the Arnamagnæan Institute, University of Copenhagen. </w:t>
      </w:r>
    </w:p>
    <w:p w14:paraId="6A032E79" w14:textId="77777777" w:rsidR="008D3BEE" w:rsidRDefault="008D3BEE">
      <w:pPr>
        <w:rPr>
          <w:rFonts w:ascii="Times New Roman" w:eastAsia="Times New Roman" w:hAnsi="Times New Roman" w:cs="Times New Roman"/>
          <w:sz w:val="24"/>
          <w:szCs w:val="24"/>
        </w:rPr>
      </w:pPr>
    </w:p>
    <w:p w14:paraId="171AC2E2" w14:textId="77777777" w:rsidR="008D3BEE" w:rsidRPr="000F1CC2" w:rsidRDefault="00000000">
      <w:pPr>
        <w:rPr>
          <w:rFonts w:ascii="Times New Roman" w:eastAsia="Times New Roman" w:hAnsi="Times New Roman" w:cs="Times New Roman"/>
          <w:b/>
          <w:sz w:val="24"/>
          <w:szCs w:val="24"/>
          <w:lang w:val="da-DK"/>
        </w:rPr>
      </w:pPr>
      <w:commentRangeStart w:id="9"/>
      <w:r w:rsidRPr="000F1CC2">
        <w:rPr>
          <w:rFonts w:ascii="Times New Roman" w:eastAsia="Times New Roman" w:hAnsi="Times New Roman" w:cs="Times New Roman"/>
          <w:b/>
          <w:sz w:val="24"/>
          <w:szCs w:val="24"/>
          <w:lang w:val="da-DK"/>
        </w:rPr>
        <w:t>Bibliography:</w:t>
      </w:r>
      <w:commentRangeEnd w:id="9"/>
      <w:r w:rsidR="000C0CEE">
        <w:rPr>
          <w:rStyle w:val="CommentReference"/>
        </w:rPr>
        <w:commentReference w:id="9"/>
      </w:r>
    </w:p>
    <w:p w14:paraId="78B3134B" w14:textId="77777777" w:rsidR="008D3BEE" w:rsidRPr="000F1CC2" w:rsidRDefault="008D3BEE">
      <w:pPr>
        <w:rPr>
          <w:rFonts w:ascii="Times New Roman" w:eastAsia="Times New Roman" w:hAnsi="Times New Roman" w:cs="Times New Roman"/>
          <w:sz w:val="24"/>
          <w:szCs w:val="24"/>
          <w:lang w:val="da-DK"/>
        </w:rPr>
      </w:pPr>
    </w:p>
    <w:p w14:paraId="13E8AC51" w14:textId="2F29C5AB" w:rsidR="00F47423" w:rsidRPr="0021379A" w:rsidRDefault="00F47423">
      <w:pPr>
        <w:rPr>
          <w:rFonts w:ascii="Times New Roman" w:eastAsia="Times New Roman" w:hAnsi="Times New Roman" w:cs="Times New Roman"/>
          <w:sz w:val="24"/>
          <w:szCs w:val="24"/>
          <w:highlight w:val="white"/>
          <w:lang w:val="da-DK"/>
        </w:rPr>
      </w:pPr>
      <w:r w:rsidRPr="00F47423">
        <w:rPr>
          <w:rFonts w:ascii="Times New Roman" w:eastAsia="Times New Roman" w:hAnsi="Times New Roman" w:cs="Times New Roman"/>
          <w:sz w:val="24"/>
          <w:szCs w:val="24"/>
          <w:highlight w:val="white"/>
          <w:lang w:val="da-DK"/>
        </w:rPr>
        <w:t>An</w:t>
      </w:r>
      <w:r>
        <w:rPr>
          <w:rFonts w:ascii="Times New Roman" w:eastAsia="Times New Roman" w:hAnsi="Times New Roman" w:cs="Times New Roman"/>
          <w:sz w:val="24"/>
          <w:szCs w:val="24"/>
          <w:highlight w:val="white"/>
          <w:lang w:val="da-DK"/>
        </w:rPr>
        <w:t xml:space="preserve">ne Mette Hansen, </w:t>
      </w:r>
      <w:r w:rsidRPr="00F47423">
        <w:rPr>
          <w:rFonts w:ascii="Times New Roman" w:eastAsia="Times New Roman" w:hAnsi="Times New Roman" w:cs="Times New Roman"/>
          <w:sz w:val="24"/>
          <w:szCs w:val="24"/>
          <w:highlight w:val="white"/>
          <w:lang w:val="da-DK"/>
        </w:rPr>
        <w:t>“M</w:t>
      </w:r>
      <w:r>
        <w:rPr>
          <w:rFonts w:ascii="Times New Roman" w:eastAsia="Times New Roman" w:hAnsi="Times New Roman" w:cs="Times New Roman"/>
          <w:sz w:val="24"/>
          <w:szCs w:val="24"/>
          <w:highlight w:val="white"/>
          <w:lang w:val="da-DK"/>
        </w:rPr>
        <w:t xml:space="preserve">anicula,” </w:t>
      </w:r>
      <w:r w:rsidRPr="00F47423">
        <w:rPr>
          <w:rFonts w:ascii="Times New Roman" w:eastAsia="Times New Roman" w:hAnsi="Times New Roman" w:cs="Times New Roman"/>
          <w:i/>
          <w:iCs/>
          <w:sz w:val="24"/>
          <w:szCs w:val="24"/>
          <w:highlight w:val="white"/>
          <w:lang w:val="da-DK"/>
        </w:rPr>
        <w:t>Encyclopædica Britannica: Festskrift til Britta Olrik Frederiksen i anledning af hendes 60-årsdag sen 5. december 2007.</w:t>
      </w:r>
      <w:r w:rsidRPr="00F47423">
        <w:rPr>
          <w:rFonts w:ascii="Times New Roman" w:eastAsia="Times New Roman" w:hAnsi="Times New Roman" w:cs="Times New Roman"/>
          <w:sz w:val="24"/>
          <w:szCs w:val="24"/>
          <w:highlight w:val="white"/>
          <w:lang w:val="da-DK"/>
        </w:rPr>
        <w:t> </w:t>
      </w:r>
      <w:r w:rsidRPr="0021379A">
        <w:rPr>
          <w:rFonts w:ascii="Times New Roman" w:eastAsia="Times New Roman" w:hAnsi="Times New Roman" w:cs="Times New Roman"/>
          <w:sz w:val="24"/>
          <w:szCs w:val="24"/>
          <w:highlight w:val="white"/>
          <w:lang w:val="da-DK"/>
        </w:rPr>
        <w:t>Grammel, F., Louis-Jensen, J. &amp; Mósesdóttir, R. (eds.)., København: Museum Tusculanum (2007), 87-92</w:t>
      </w:r>
    </w:p>
    <w:p w14:paraId="617E8440" w14:textId="77777777" w:rsidR="00F47423" w:rsidRDefault="00F47423">
      <w:pPr>
        <w:rPr>
          <w:rFonts w:ascii="Times New Roman" w:eastAsia="Times New Roman" w:hAnsi="Times New Roman" w:cs="Times New Roman"/>
          <w:sz w:val="24"/>
          <w:szCs w:val="24"/>
          <w:highlight w:val="white"/>
          <w:lang w:val="da-DK"/>
        </w:rPr>
      </w:pPr>
    </w:p>
    <w:p w14:paraId="4FCA42C4" w14:textId="77777777" w:rsidR="0021379A" w:rsidRPr="00177D6D" w:rsidRDefault="0021379A" w:rsidP="0021379A">
      <w:pPr>
        <w:rPr>
          <w:rFonts w:ascii="Times New Roman" w:eastAsia="Times New Roman" w:hAnsi="Times New Roman" w:cs="Times New Roman"/>
          <w:sz w:val="24"/>
          <w:szCs w:val="24"/>
          <w:highlight w:val="white"/>
          <w:lang w:val="da-DK"/>
        </w:rPr>
      </w:pPr>
      <w:r w:rsidRPr="00177D6D">
        <w:rPr>
          <w:rFonts w:ascii="Times New Roman" w:eastAsia="Times New Roman" w:hAnsi="Times New Roman" w:cs="Times New Roman"/>
          <w:sz w:val="24"/>
          <w:szCs w:val="24"/>
          <w:highlight w:val="white"/>
          <w:lang w:val="da-DK"/>
        </w:rPr>
        <w:t xml:space="preserve">Marius Kristensen, </w:t>
      </w:r>
      <w:r w:rsidRPr="00177D6D">
        <w:rPr>
          <w:rFonts w:ascii="Times New Roman" w:eastAsia="Times New Roman" w:hAnsi="Times New Roman" w:cs="Times New Roman"/>
          <w:i/>
          <w:sz w:val="24"/>
          <w:szCs w:val="24"/>
          <w:highlight w:val="white"/>
          <w:lang w:val="da-DK"/>
        </w:rPr>
        <w:t>En Klosterbog fra Middelalderens Slutning (AM. 76, 8vo.),</w:t>
      </w:r>
      <w:r w:rsidRPr="00177D6D">
        <w:rPr>
          <w:rFonts w:ascii="Times New Roman" w:eastAsia="Times New Roman" w:hAnsi="Times New Roman" w:cs="Times New Roman"/>
          <w:sz w:val="24"/>
          <w:szCs w:val="24"/>
          <w:highlight w:val="white"/>
          <w:lang w:val="da-DK"/>
        </w:rPr>
        <w:t xml:space="preserve"> J. Jørgensen &amp; Co., 1933.</w:t>
      </w:r>
    </w:p>
    <w:p w14:paraId="181B67DA" w14:textId="77777777" w:rsidR="0021379A" w:rsidRDefault="0021379A">
      <w:pPr>
        <w:rPr>
          <w:rFonts w:ascii="Times New Roman" w:eastAsia="Times New Roman" w:hAnsi="Times New Roman" w:cs="Times New Roman"/>
          <w:sz w:val="24"/>
          <w:szCs w:val="24"/>
          <w:highlight w:val="white"/>
          <w:lang w:val="da-DK"/>
        </w:rPr>
      </w:pPr>
    </w:p>
    <w:p w14:paraId="3A6F02C6" w14:textId="05C7368F" w:rsidR="0021379A" w:rsidRPr="0021379A" w:rsidRDefault="0021379A">
      <w:pPr>
        <w:rPr>
          <w:rFonts w:ascii="Times New Roman" w:eastAsia="Times New Roman" w:hAnsi="Times New Roman" w:cs="Times New Roman"/>
          <w:sz w:val="24"/>
          <w:szCs w:val="24"/>
          <w:lang w:val="en-US"/>
        </w:rPr>
      </w:pPr>
      <w:r w:rsidRPr="0021379A">
        <w:rPr>
          <w:rFonts w:ascii="Times New Roman" w:eastAsia="Times New Roman" w:hAnsi="Times New Roman" w:cs="Times New Roman"/>
          <w:sz w:val="24"/>
          <w:szCs w:val="24"/>
          <w:lang w:val="da-DK"/>
        </w:rPr>
        <w:t xml:space="preserve">Britta Olrik Frederiksen, et al. </w:t>
      </w:r>
      <w:r w:rsidRPr="0021379A">
        <w:rPr>
          <w:rFonts w:ascii="Times New Roman" w:eastAsia="Times New Roman" w:hAnsi="Times New Roman" w:cs="Times New Roman"/>
          <w:sz w:val="24"/>
          <w:szCs w:val="24"/>
          <w:lang w:val="en-US"/>
        </w:rPr>
        <w:t>(ed.):</w:t>
      </w:r>
      <w:r>
        <w:rPr>
          <w:i/>
          <w:iCs/>
        </w:rPr>
        <w:t xml:space="preserve"> </w:t>
      </w:r>
      <w:r w:rsidRPr="0021379A">
        <w:rPr>
          <w:rFonts w:ascii="Times New Roman" w:eastAsia="Times New Roman" w:hAnsi="Times New Roman" w:cs="Times New Roman"/>
          <w:i/>
          <w:iCs/>
          <w:sz w:val="24"/>
          <w:szCs w:val="24"/>
          <w:lang w:val="en-US"/>
        </w:rPr>
        <w:t xml:space="preserve">A Danish </w:t>
      </w:r>
      <w:r>
        <w:rPr>
          <w:rFonts w:ascii="Times New Roman" w:eastAsia="Times New Roman" w:hAnsi="Times New Roman" w:cs="Times New Roman"/>
          <w:i/>
          <w:iCs/>
          <w:sz w:val="24"/>
          <w:szCs w:val="24"/>
          <w:lang w:val="en-US"/>
        </w:rPr>
        <w:t>T</w:t>
      </w:r>
      <w:r w:rsidRPr="0021379A">
        <w:rPr>
          <w:rFonts w:ascii="Times New Roman" w:eastAsia="Times New Roman" w:hAnsi="Times New Roman" w:cs="Times New Roman"/>
          <w:i/>
          <w:iCs/>
          <w:sz w:val="24"/>
          <w:szCs w:val="24"/>
          <w:lang w:val="en-US"/>
        </w:rPr>
        <w:t xml:space="preserve">eacher's </w:t>
      </w:r>
      <w:r>
        <w:rPr>
          <w:rFonts w:ascii="Times New Roman" w:eastAsia="Times New Roman" w:hAnsi="Times New Roman" w:cs="Times New Roman"/>
          <w:i/>
          <w:iCs/>
          <w:sz w:val="24"/>
          <w:szCs w:val="24"/>
          <w:lang w:val="en-US"/>
        </w:rPr>
        <w:t>M</w:t>
      </w:r>
      <w:r w:rsidRPr="0021379A">
        <w:rPr>
          <w:rFonts w:ascii="Times New Roman" w:eastAsia="Times New Roman" w:hAnsi="Times New Roman" w:cs="Times New Roman"/>
          <w:i/>
          <w:iCs/>
          <w:sz w:val="24"/>
          <w:szCs w:val="24"/>
          <w:lang w:val="en-US"/>
        </w:rPr>
        <w:t xml:space="preserve">anual of the </w:t>
      </w:r>
      <w:r>
        <w:rPr>
          <w:rFonts w:ascii="Times New Roman" w:eastAsia="Times New Roman" w:hAnsi="Times New Roman" w:cs="Times New Roman"/>
          <w:i/>
          <w:iCs/>
          <w:sz w:val="24"/>
          <w:szCs w:val="24"/>
          <w:lang w:val="en-US"/>
        </w:rPr>
        <w:t>M</w:t>
      </w:r>
      <w:r w:rsidRPr="0021379A">
        <w:rPr>
          <w:rFonts w:ascii="Times New Roman" w:eastAsia="Times New Roman" w:hAnsi="Times New Roman" w:cs="Times New Roman"/>
          <w:i/>
          <w:iCs/>
          <w:sz w:val="24"/>
          <w:szCs w:val="24"/>
          <w:lang w:val="en-US"/>
        </w:rPr>
        <w:t>id-</w:t>
      </w:r>
      <w:r>
        <w:rPr>
          <w:rFonts w:ascii="Times New Roman" w:eastAsia="Times New Roman" w:hAnsi="Times New Roman" w:cs="Times New Roman"/>
          <w:i/>
          <w:iCs/>
          <w:sz w:val="24"/>
          <w:szCs w:val="24"/>
          <w:lang w:val="en-US"/>
        </w:rPr>
        <w:t>F</w:t>
      </w:r>
      <w:r w:rsidRPr="0021379A">
        <w:rPr>
          <w:rFonts w:ascii="Times New Roman" w:eastAsia="Times New Roman" w:hAnsi="Times New Roman" w:cs="Times New Roman"/>
          <w:i/>
          <w:iCs/>
          <w:sz w:val="24"/>
          <w:szCs w:val="24"/>
          <w:lang w:val="en-US"/>
        </w:rPr>
        <w:t xml:space="preserve">ifteenth </w:t>
      </w:r>
      <w:r>
        <w:rPr>
          <w:rFonts w:ascii="Times New Roman" w:eastAsia="Times New Roman" w:hAnsi="Times New Roman" w:cs="Times New Roman"/>
          <w:i/>
          <w:iCs/>
          <w:sz w:val="24"/>
          <w:szCs w:val="24"/>
          <w:lang w:val="en-US"/>
        </w:rPr>
        <w:t>C</w:t>
      </w:r>
      <w:r w:rsidRPr="0021379A">
        <w:rPr>
          <w:rFonts w:ascii="Times New Roman" w:eastAsia="Times New Roman" w:hAnsi="Times New Roman" w:cs="Times New Roman"/>
          <w:i/>
          <w:iCs/>
          <w:sz w:val="24"/>
          <w:szCs w:val="24"/>
          <w:lang w:val="en-US"/>
        </w:rPr>
        <w:t>entury (Cod. AM 76,</w:t>
      </w:r>
      <w:r>
        <w:rPr>
          <w:rFonts w:ascii="Times New Roman" w:eastAsia="Times New Roman" w:hAnsi="Times New Roman" w:cs="Times New Roman"/>
          <w:i/>
          <w:iCs/>
          <w:sz w:val="24"/>
          <w:szCs w:val="24"/>
          <w:lang w:val="en-US"/>
        </w:rPr>
        <w:t xml:space="preserve"> </w:t>
      </w:r>
      <w:r w:rsidRPr="0021379A">
        <w:rPr>
          <w:rFonts w:ascii="Times New Roman" w:eastAsia="Times New Roman" w:hAnsi="Times New Roman" w:cs="Times New Roman"/>
          <w:i/>
          <w:iCs/>
          <w:sz w:val="24"/>
          <w:szCs w:val="24"/>
          <w:lang w:val="en-US"/>
        </w:rPr>
        <w:t xml:space="preserve">8⁰). Vol. 2, Commentary and </w:t>
      </w:r>
      <w:r>
        <w:rPr>
          <w:rFonts w:ascii="Times New Roman" w:eastAsia="Times New Roman" w:hAnsi="Times New Roman" w:cs="Times New Roman"/>
          <w:i/>
          <w:iCs/>
          <w:sz w:val="24"/>
          <w:szCs w:val="24"/>
          <w:lang w:val="en-US"/>
        </w:rPr>
        <w:t>E</w:t>
      </w:r>
      <w:r w:rsidRPr="0021379A">
        <w:rPr>
          <w:rFonts w:ascii="Times New Roman" w:eastAsia="Times New Roman" w:hAnsi="Times New Roman" w:cs="Times New Roman"/>
          <w:i/>
          <w:iCs/>
          <w:sz w:val="24"/>
          <w:szCs w:val="24"/>
          <w:lang w:val="en-US"/>
        </w:rPr>
        <w:t>ssays</w:t>
      </w:r>
      <w:r>
        <w:rPr>
          <w:rFonts w:ascii="Times New Roman" w:eastAsia="Times New Roman" w:hAnsi="Times New Roman" w:cs="Times New Roman"/>
          <w:i/>
          <w:iCs/>
          <w:sz w:val="24"/>
          <w:szCs w:val="24"/>
          <w:lang w:val="en-US"/>
        </w:rPr>
        <w:t xml:space="preserve">, </w:t>
      </w:r>
      <w:r w:rsidRPr="0021379A">
        <w:rPr>
          <w:rFonts w:ascii="Times New Roman" w:eastAsia="Times New Roman" w:hAnsi="Times New Roman" w:cs="Times New Roman"/>
          <w:sz w:val="24"/>
          <w:szCs w:val="24"/>
          <w:lang w:val="en-US"/>
        </w:rPr>
        <w:t>Vetenskapssocieteten in Lund</w:t>
      </w:r>
      <w:r>
        <w:rPr>
          <w:rFonts w:ascii="Times New Roman" w:eastAsia="Times New Roman" w:hAnsi="Times New Roman" w:cs="Times New Roman"/>
          <w:sz w:val="24"/>
          <w:szCs w:val="24"/>
          <w:lang w:val="en-US"/>
        </w:rPr>
        <w:t>,</w:t>
      </w:r>
      <w:r w:rsidRPr="0021379A">
        <w:rPr>
          <w:rFonts w:ascii="Times New Roman" w:eastAsia="Times New Roman" w:hAnsi="Times New Roman" w:cs="Times New Roman"/>
          <w:sz w:val="24"/>
          <w:szCs w:val="24"/>
          <w:lang w:val="en-US"/>
        </w:rPr>
        <w:t xml:space="preserve"> Skrifter, 96,</w:t>
      </w:r>
      <w:r>
        <w:rPr>
          <w:rFonts w:ascii="Times New Roman" w:eastAsia="Times New Roman" w:hAnsi="Times New Roman" w:cs="Times New Roman"/>
          <w:sz w:val="24"/>
          <w:szCs w:val="24"/>
          <w:lang w:val="en-US"/>
        </w:rPr>
        <w:t xml:space="preserve"> 2008.</w:t>
      </w:r>
    </w:p>
    <w:p w14:paraId="5774330A" w14:textId="77777777" w:rsidR="0021379A" w:rsidRPr="0021379A" w:rsidRDefault="0021379A">
      <w:pPr>
        <w:rPr>
          <w:rFonts w:ascii="Times New Roman" w:eastAsia="Times New Roman" w:hAnsi="Times New Roman" w:cs="Times New Roman"/>
          <w:sz w:val="24"/>
          <w:szCs w:val="24"/>
          <w:highlight w:val="white"/>
          <w:lang w:val="en-US"/>
        </w:rPr>
      </w:pPr>
    </w:p>
    <w:p w14:paraId="295CE798" w14:textId="69463E69" w:rsidR="00F47423" w:rsidRPr="0021379A" w:rsidRDefault="00C81D5E">
      <w:pPr>
        <w:rPr>
          <w:rFonts w:ascii="Times New Roman" w:eastAsia="Times New Roman" w:hAnsi="Times New Roman" w:cs="Times New Roman"/>
          <w:sz w:val="24"/>
          <w:szCs w:val="24"/>
          <w:highlight w:val="white"/>
          <w:lang w:val="en-US"/>
        </w:rPr>
      </w:pPr>
      <w:r w:rsidRPr="00B96B3E">
        <w:rPr>
          <w:rFonts w:ascii="Times New Roman" w:eastAsia="Times New Roman" w:hAnsi="Times New Roman" w:cs="Times New Roman"/>
          <w:sz w:val="24"/>
          <w:szCs w:val="24"/>
          <w:highlight w:val="white"/>
        </w:rPr>
        <w:t>Sigurd Kroon, et al.</w:t>
      </w:r>
      <w:r w:rsidR="00F47423" w:rsidRPr="00B96B3E">
        <w:rPr>
          <w:rFonts w:ascii="Times New Roman" w:eastAsia="Times New Roman" w:hAnsi="Times New Roman" w:cs="Times New Roman"/>
          <w:sz w:val="24"/>
          <w:szCs w:val="24"/>
          <w:highlight w:val="white"/>
        </w:rPr>
        <w:t xml:space="preserve"> </w:t>
      </w:r>
      <w:r w:rsidR="00F47423">
        <w:rPr>
          <w:rFonts w:ascii="Times New Roman" w:eastAsia="Times New Roman" w:hAnsi="Times New Roman" w:cs="Times New Roman"/>
          <w:sz w:val="24"/>
          <w:szCs w:val="24"/>
          <w:highlight w:val="white"/>
          <w:lang w:val="en-US"/>
        </w:rPr>
        <w:t>(ed.):</w:t>
      </w:r>
      <w:r w:rsidRPr="00C81D5E">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i/>
          <w:sz w:val="24"/>
          <w:szCs w:val="24"/>
          <w:highlight w:val="white"/>
        </w:rPr>
        <w:t xml:space="preserve">A Danish Teacher's Manual of the Mid-Fifteenth Century (Cod. </w:t>
      </w:r>
      <w:r w:rsidRPr="0021379A">
        <w:rPr>
          <w:rFonts w:ascii="Times New Roman" w:eastAsia="Times New Roman" w:hAnsi="Times New Roman" w:cs="Times New Roman"/>
          <w:i/>
          <w:sz w:val="24"/>
          <w:szCs w:val="24"/>
          <w:highlight w:val="white"/>
          <w:lang w:val="en-US"/>
        </w:rPr>
        <w:t>AM 76, 8</w:t>
      </w:r>
      <w:r w:rsidR="0021379A" w:rsidRPr="0021379A">
        <w:rPr>
          <w:rFonts w:ascii="Times New Roman" w:eastAsia="Times New Roman" w:hAnsi="Times New Roman" w:cs="Times New Roman"/>
          <w:i/>
          <w:iCs/>
          <w:sz w:val="24"/>
          <w:szCs w:val="24"/>
          <w:lang w:val="en-US"/>
        </w:rPr>
        <w:t>⁰</w:t>
      </w:r>
      <w:r w:rsidRPr="0021379A">
        <w:rPr>
          <w:rFonts w:ascii="Times New Roman" w:eastAsia="Times New Roman" w:hAnsi="Times New Roman" w:cs="Times New Roman"/>
          <w:i/>
          <w:sz w:val="24"/>
          <w:szCs w:val="24"/>
          <w:highlight w:val="white"/>
          <w:lang w:val="en-US"/>
        </w:rPr>
        <w:t>)</w:t>
      </w:r>
      <w:r w:rsidR="00F47423" w:rsidRPr="0021379A">
        <w:rPr>
          <w:rFonts w:ascii="Times New Roman" w:eastAsia="Times New Roman" w:hAnsi="Times New Roman" w:cs="Times New Roman"/>
          <w:sz w:val="24"/>
          <w:szCs w:val="24"/>
          <w:highlight w:val="white"/>
          <w:lang w:val="en-US"/>
        </w:rPr>
        <w:t>, Lund 1993.</w:t>
      </w:r>
    </w:p>
    <w:p w14:paraId="2FB582E4" w14:textId="77777777" w:rsidR="008D3BEE" w:rsidRPr="0021379A" w:rsidRDefault="008D3BEE">
      <w:pPr>
        <w:rPr>
          <w:rFonts w:ascii="Times New Roman" w:eastAsia="Times New Roman" w:hAnsi="Times New Roman" w:cs="Times New Roman"/>
          <w:sz w:val="24"/>
          <w:szCs w:val="24"/>
          <w:highlight w:val="white"/>
          <w:lang w:val="en-US"/>
        </w:rPr>
      </w:pPr>
    </w:p>
    <w:p w14:paraId="69A65F6C" w14:textId="77777777" w:rsidR="008D3BEE" w:rsidRPr="0021379A" w:rsidRDefault="008D3BEE">
      <w:pPr>
        <w:rPr>
          <w:rFonts w:ascii="Times New Roman" w:eastAsia="Times New Roman" w:hAnsi="Times New Roman" w:cs="Times New Roman"/>
          <w:sz w:val="24"/>
          <w:szCs w:val="24"/>
          <w:highlight w:val="white"/>
          <w:lang w:val="en-US"/>
        </w:rPr>
      </w:pPr>
    </w:p>
    <w:p w14:paraId="2EA79896" w14:textId="77777777" w:rsidR="008D3BE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William H. Sherman,</w:t>
      </w:r>
      <w:r>
        <w:rPr>
          <w:rFonts w:ascii="Times New Roman" w:eastAsia="Times New Roman" w:hAnsi="Times New Roman" w:cs="Times New Roman"/>
          <w:i/>
          <w:sz w:val="24"/>
          <w:szCs w:val="24"/>
          <w:highlight w:val="white"/>
        </w:rPr>
        <w:t xml:space="preserve"> Used Books: Marking Readers in Renaissance England</w:t>
      </w:r>
      <w:r>
        <w:rPr>
          <w:rFonts w:ascii="Times New Roman" w:eastAsia="Times New Roman" w:hAnsi="Times New Roman" w:cs="Times New Roman"/>
          <w:sz w:val="24"/>
          <w:szCs w:val="24"/>
          <w:highlight w:val="white"/>
        </w:rPr>
        <w:t>, University of Pennsylvania Press, 2010.</w:t>
      </w:r>
    </w:p>
    <w:p w14:paraId="6E9590F9" w14:textId="77777777" w:rsidR="008D3BEE" w:rsidRDefault="008D3BEE">
      <w:pPr>
        <w:rPr>
          <w:rFonts w:ascii="Times New Roman" w:eastAsia="Times New Roman" w:hAnsi="Times New Roman" w:cs="Times New Roman"/>
          <w:sz w:val="24"/>
          <w:szCs w:val="24"/>
        </w:rPr>
      </w:pPr>
    </w:p>
    <w:p w14:paraId="7AE7A287" w14:textId="77777777" w:rsidR="008D3BEE" w:rsidRDefault="008D3BEE">
      <w:pPr>
        <w:rPr>
          <w:rFonts w:ascii="Times New Roman" w:eastAsia="Times New Roman" w:hAnsi="Times New Roman" w:cs="Times New Roman"/>
          <w:sz w:val="24"/>
          <w:szCs w:val="24"/>
        </w:rPr>
      </w:pPr>
    </w:p>
    <w:p w14:paraId="235321D6" w14:textId="77777777" w:rsidR="008D3BE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Funding:</w:t>
      </w:r>
      <w:r>
        <w:rPr>
          <w:rFonts w:ascii="Times New Roman" w:eastAsia="Times New Roman" w:hAnsi="Times New Roman" w:cs="Times New Roman"/>
          <w:sz w:val="24"/>
          <w:szCs w:val="24"/>
        </w:rPr>
        <w:t xml:space="preserve"> </w:t>
      </w:r>
    </w:p>
    <w:p w14:paraId="4745CDE8" w14:textId="77777777" w:rsidR="008D3BEE" w:rsidRDefault="008D3BEE">
      <w:pPr>
        <w:rPr>
          <w:rFonts w:ascii="Times New Roman" w:eastAsia="Times New Roman" w:hAnsi="Times New Roman" w:cs="Times New Roman"/>
          <w:sz w:val="24"/>
          <w:szCs w:val="24"/>
          <w:highlight w:val="white"/>
        </w:rPr>
      </w:pPr>
    </w:p>
    <w:p w14:paraId="5BF91BD7" w14:textId="77777777" w:rsidR="008D3BEE"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entry of </w:t>
      </w:r>
      <w:r>
        <w:rPr>
          <w:rFonts w:ascii="Times New Roman" w:eastAsia="Times New Roman" w:hAnsi="Times New Roman" w:cs="Times New Roman"/>
          <w:i/>
          <w:sz w:val="24"/>
          <w:szCs w:val="24"/>
          <w:highlight w:val="white"/>
        </w:rPr>
        <w:t>Manuscript of the Month</w:t>
      </w:r>
      <w:r>
        <w:rPr>
          <w:rFonts w:ascii="Times New Roman" w:eastAsia="Times New Roman" w:hAnsi="Times New Roman" w:cs="Times New Roman"/>
          <w:sz w:val="24"/>
          <w:szCs w:val="24"/>
          <w:highlight w:val="white"/>
        </w:rPr>
        <w:t xml:space="preserve"> was produced in connection the LAWS project, which has received funding from the European Union’s Horizon Europe research and innovation programme under the Marie Skłodowska-Curie grant agreement No. 126637</w:t>
      </w:r>
    </w:p>
    <w:p w14:paraId="7EADE9C8" w14:textId="77777777" w:rsidR="008D3BEE" w:rsidRDefault="00000000">
      <w:pPr>
        <w:rPr>
          <w:rFonts w:ascii="Times New Roman" w:eastAsia="Times New Roman" w:hAnsi="Times New Roman" w:cs="Times New Roman"/>
          <w:color w:val="252525"/>
          <w:sz w:val="24"/>
          <w:szCs w:val="24"/>
          <w:highlight w:val="white"/>
        </w:rPr>
      </w:pPr>
      <w:r>
        <w:rPr>
          <w:rFonts w:ascii="Times New Roman" w:eastAsia="Times New Roman" w:hAnsi="Times New Roman" w:cs="Times New Roman"/>
          <w:noProof/>
          <w:color w:val="252525"/>
          <w:sz w:val="24"/>
          <w:szCs w:val="24"/>
          <w:highlight w:val="white"/>
        </w:rPr>
        <w:drawing>
          <wp:inline distT="114300" distB="114300" distL="114300" distR="114300" wp14:anchorId="2493C690" wp14:editId="54355602">
            <wp:extent cx="1862138" cy="104652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1862138" cy="1046521"/>
                    </a:xfrm>
                    <a:prstGeom prst="rect">
                      <a:avLst/>
                    </a:prstGeom>
                    <a:ln/>
                  </pic:spPr>
                </pic:pic>
              </a:graphicData>
            </a:graphic>
          </wp:inline>
        </w:drawing>
      </w:r>
    </w:p>
    <w:p w14:paraId="70EEA653" w14:textId="77777777" w:rsidR="008D3BEE" w:rsidRDefault="008D3BEE">
      <w:pPr>
        <w:rPr>
          <w:rFonts w:ascii="Times New Roman" w:eastAsia="Times New Roman" w:hAnsi="Times New Roman" w:cs="Times New Roman"/>
          <w:sz w:val="24"/>
          <w:szCs w:val="24"/>
          <w:highlight w:val="white"/>
        </w:rPr>
      </w:pPr>
    </w:p>
    <w:sectPr w:rsidR="008D3BEE">
      <w:pgSz w:w="11909" w:h="16834"/>
      <w:pgMar w:top="1440" w:right="1440" w:bottom="1440" w:left="1440"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5-07-09T21:37:00Z" w:initials="Reviewer">
    <w:p w14:paraId="37767673" w14:textId="62C08ED7" w:rsidR="00177D6D" w:rsidRDefault="00177D6D">
      <w:pPr>
        <w:pStyle w:val="CommentText"/>
      </w:pPr>
      <w:r>
        <w:rPr>
          <w:rStyle w:val="CommentReference"/>
        </w:rPr>
        <w:annotationRef/>
      </w:r>
      <w:r>
        <w:t>Could be misunderstood.</w:t>
      </w:r>
    </w:p>
    <w:p w14:paraId="1E734DA5" w14:textId="77777777" w:rsidR="00177D6D" w:rsidRDefault="00177D6D">
      <w:pPr>
        <w:pStyle w:val="CommentText"/>
      </w:pPr>
      <w:r>
        <w:t>Lucidarius is a main text.</w:t>
      </w:r>
    </w:p>
    <w:p w14:paraId="02FE94A1" w14:textId="27FFCC49" w:rsidR="00177D6D" w:rsidRPr="00177D6D" w:rsidRDefault="00177D6D">
      <w:pPr>
        <w:pStyle w:val="CommentText"/>
        <w:rPr>
          <w:lang w:val="da-DK"/>
        </w:rPr>
      </w:pPr>
      <w:r>
        <w:t xml:space="preserve">It is the only surviving copy in manuscript form. But there is also a print from 1510! </w:t>
      </w:r>
      <w:r w:rsidRPr="00177D6D">
        <w:rPr>
          <w:lang w:val="da-DK"/>
        </w:rPr>
        <w:t>(Gotfred af Ghemen, Kbh. – LN 135: http://wayback-01.kb.dk/wayback/20100504123523/http://www2.kb.dk/elib/mss/stoevguld/verdensbill/ln135.htm)</w:t>
      </w:r>
    </w:p>
    <w:p w14:paraId="73192020" w14:textId="0CCF8C5C" w:rsidR="00177D6D" w:rsidRPr="00177D6D" w:rsidRDefault="00177D6D">
      <w:pPr>
        <w:pStyle w:val="CommentText"/>
        <w:rPr>
          <w:lang w:val="da-DK"/>
        </w:rPr>
      </w:pPr>
    </w:p>
  </w:comment>
  <w:comment w:id="1" w:author="Reviewer" w:date="2025-07-09T21:43:00Z" w:initials="Reviewer">
    <w:p w14:paraId="1B4CD1AE" w14:textId="52012D49" w:rsidR="00177D6D" w:rsidRDefault="00177D6D">
      <w:pPr>
        <w:pStyle w:val="CommentText"/>
      </w:pPr>
      <w:r>
        <w:rPr>
          <w:rStyle w:val="CommentReference"/>
        </w:rPr>
        <w:annotationRef/>
      </w:r>
      <w:r>
        <w:t>?</w:t>
      </w:r>
    </w:p>
  </w:comment>
  <w:comment w:id="2" w:author="Reviewer" w:date="2025-07-16T21:48:00Z" w:initials="Reviewer">
    <w:p w14:paraId="344A1037" w14:textId="185CE773" w:rsidR="000F1CC2" w:rsidRDefault="000F1CC2">
      <w:pPr>
        <w:pStyle w:val="CommentText"/>
      </w:pPr>
      <w:r>
        <w:rPr>
          <w:rStyle w:val="CommentReference"/>
        </w:rPr>
        <w:annotationRef/>
      </w:r>
      <w:r>
        <w:t>I prefer ‘text’ to ‘work’!</w:t>
      </w:r>
    </w:p>
    <w:p w14:paraId="0F4AE2A8" w14:textId="48C68C3E" w:rsidR="000F1CC2" w:rsidRDefault="000F1CC2">
      <w:pPr>
        <w:pStyle w:val="CommentText"/>
      </w:pPr>
      <w:r>
        <w:t xml:space="preserve">The manuscript is a miscellany / multi-text manuscript. Maybe you could use this term at the beginning? </w:t>
      </w:r>
    </w:p>
  </w:comment>
  <w:comment w:id="3" w:author="Reviewer" w:date="2025-07-16T21:55:00Z" w:initials="Reviewer">
    <w:p w14:paraId="03FF053D" w14:textId="6978990C" w:rsidR="000F1CC2" w:rsidRDefault="000F1CC2">
      <w:pPr>
        <w:pStyle w:val="CommentText"/>
      </w:pPr>
      <w:r>
        <w:rPr>
          <w:rStyle w:val="CommentReference"/>
        </w:rPr>
        <w:annotationRef/>
      </w:r>
    </w:p>
  </w:comment>
  <w:comment w:id="4" w:author="Reviewer" w:date="2025-07-09T21:44:00Z" w:initials="Reviewer">
    <w:p w14:paraId="12332383" w14:textId="25701A79" w:rsidR="00177D6D" w:rsidRDefault="00177D6D">
      <w:pPr>
        <w:pStyle w:val="CommentText"/>
      </w:pPr>
      <w:r>
        <w:rPr>
          <w:rStyle w:val="CommentReference"/>
        </w:rPr>
        <w:annotationRef/>
      </w:r>
      <w:r>
        <w:t xml:space="preserve">See commentary volume to the Sigurd Kroon et al. edition. Scribal sittings. </w:t>
      </w:r>
    </w:p>
  </w:comment>
  <w:comment w:id="5" w:author="Arendse Inge Lund" w:date="2025-07-11T11:33:00Z" w:initials="AL">
    <w:p w14:paraId="169EF749" w14:textId="77777777" w:rsidR="00C81D5E" w:rsidRDefault="00C81D5E" w:rsidP="00C81D5E">
      <w:pPr>
        <w:pStyle w:val="CommentText"/>
      </w:pPr>
      <w:r>
        <w:rPr>
          <w:rStyle w:val="CommentReference"/>
        </w:rPr>
        <w:annotationRef/>
      </w:r>
      <w:r w:rsidRPr="000F1CC2">
        <w:rPr>
          <w:lang w:val="en-US"/>
        </w:rPr>
        <w:t>Is this the kind of reference you’d like here? It’s difficult to get it to flow for a blog post but the complete reference is listed in the bibliography below.</w:t>
      </w:r>
    </w:p>
  </w:comment>
  <w:comment w:id="6" w:author="Reviewer" w:date="2025-07-16T21:56:00Z" w:initials="Reviewer">
    <w:p w14:paraId="6E28565D" w14:textId="77777777" w:rsidR="000F1CC2" w:rsidRDefault="000F1CC2">
      <w:pPr>
        <w:pStyle w:val="CommentText"/>
      </w:pPr>
      <w:r>
        <w:rPr>
          <w:rStyle w:val="CommentReference"/>
        </w:rPr>
        <w:annotationRef/>
      </w:r>
      <w:r>
        <w:t>This is fine.</w:t>
      </w:r>
    </w:p>
    <w:p w14:paraId="4C9B6B5E" w14:textId="1B6012CF" w:rsidR="000F1CC2" w:rsidRDefault="00C74462">
      <w:pPr>
        <w:pStyle w:val="CommentText"/>
      </w:pPr>
      <w:r>
        <w:t>But t</w:t>
      </w:r>
      <w:r w:rsidR="000F1CC2">
        <w:t>he commentary binding</w:t>
      </w:r>
      <w:r>
        <w:t>, ed. Britta Olrik Frederiksen et al. from 2008</w:t>
      </w:r>
      <w:r w:rsidR="000F1CC2">
        <w:t xml:space="preserve"> should be listed in the Bibliography</w:t>
      </w:r>
      <w:r>
        <w:t>.</w:t>
      </w:r>
    </w:p>
  </w:comment>
  <w:comment w:id="7" w:author="Reviewer" w:date="2025-07-16T22:01:00Z" w:initials="Reviewer">
    <w:p w14:paraId="4FBE4718" w14:textId="51BA50E3" w:rsidR="00C74462" w:rsidRDefault="00C74462">
      <w:pPr>
        <w:pStyle w:val="CommentText"/>
      </w:pPr>
      <w:r>
        <w:rPr>
          <w:rStyle w:val="CommentReference"/>
        </w:rPr>
        <w:annotationRef/>
      </w:r>
    </w:p>
  </w:comment>
  <w:comment w:id="8" w:author="Seán Vrieland" w:date="2025-09-11T17:51:00Z" w:initials="SV">
    <w:p w14:paraId="68F1DB5C" w14:textId="77777777" w:rsidR="00C705D2" w:rsidRDefault="00C705D2" w:rsidP="00C705D2">
      <w:r>
        <w:rPr>
          <w:rStyle w:val="CommentReference"/>
        </w:rPr>
        <w:annotationRef/>
      </w:r>
      <w:r>
        <w:rPr>
          <w:sz w:val="20"/>
          <w:szCs w:val="20"/>
        </w:rPr>
        <w:t>Fix a bit</w:t>
      </w:r>
    </w:p>
  </w:comment>
  <w:comment w:id="9" w:author="Reviewer" w:date="2025-07-09T21:50:00Z" w:initials="Reviewer">
    <w:p w14:paraId="199D3EEF" w14:textId="4C417AA7" w:rsidR="000C0CEE" w:rsidRPr="000F1CC2" w:rsidRDefault="000C0CEE">
      <w:pPr>
        <w:pStyle w:val="CommentText"/>
        <w:rPr>
          <w:lang w:val="en-US"/>
        </w:rPr>
      </w:pPr>
      <w:r>
        <w:rPr>
          <w:rStyle w:val="CommentReference"/>
        </w:rPr>
        <w:annotationRef/>
      </w:r>
      <w:r w:rsidRPr="000F1CC2">
        <w:rPr>
          <w:lang w:val="en-US"/>
        </w:rPr>
        <w:t>References to:</w:t>
      </w:r>
    </w:p>
    <w:p w14:paraId="1FAB87A1" w14:textId="77777777" w:rsidR="003876F7" w:rsidRPr="000F1CC2" w:rsidRDefault="003876F7">
      <w:pPr>
        <w:pStyle w:val="CommentText"/>
        <w:rPr>
          <w:lang w:val="en-US"/>
        </w:rPr>
      </w:pPr>
    </w:p>
    <w:p w14:paraId="3BB5957B" w14:textId="3C2F1A69" w:rsidR="003876F7" w:rsidRPr="000F1CC2" w:rsidRDefault="003876F7">
      <w:pPr>
        <w:pStyle w:val="CommentText"/>
        <w:rPr>
          <w:lang w:val="en-US"/>
        </w:rPr>
      </w:pPr>
      <w:r w:rsidRPr="000F1CC2">
        <w:rPr>
          <w:lang w:val="en-US"/>
        </w:rPr>
        <w:t>Manuscript of the Month:</w:t>
      </w:r>
    </w:p>
    <w:p w14:paraId="75C9D699" w14:textId="3EB56C95" w:rsidR="006D53C3" w:rsidRPr="000F1CC2" w:rsidRDefault="003876F7">
      <w:pPr>
        <w:pStyle w:val="CommentText"/>
        <w:rPr>
          <w:lang w:val="en-US"/>
        </w:rPr>
      </w:pPr>
      <w:hyperlink r:id="rId1" w:history="1">
        <w:r w:rsidRPr="000F1CC2">
          <w:rPr>
            <w:rStyle w:val="Hyperlink"/>
            <w:lang w:val="en-US"/>
          </w:rPr>
          <w:t>https://manuscript.ku.dk/motm/a-schoolteachers-handbook/</w:t>
        </w:r>
      </w:hyperlink>
    </w:p>
    <w:p w14:paraId="1E12E445" w14:textId="77777777" w:rsidR="003876F7" w:rsidRPr="000F1CC2" w:rsidRDefault="003876F7">
      <w:pPr>
        <w:pStyle w:val="CommentText"/>
        <w:rPr>
          <w:lang w:val="en-US"/>
        </w:rPr>
      </w:pPr>
    </w:p>
    <w:p w14:paraId="4B6F6525" w14:textId="77777777" w:rsidR="003876F7" w:rsidRDefault="003876F7">
      <w:pPr>
        <w:pStyle w:val="CommentText"/>
        <w:rPr>
          <w:lang w:val="en-US"/>
        </w:rPr>
      </w:pPr>
      <w:r w:rsidRPr="003876F7">
        <w:rPr>
          <w:lang w:val="en-US"/>
        </w:rPr>
        <w:t xml:space="preserve">Encyclopædica </w:t>
      </w:r>
      <w:r>
        <w:rPr>
          <w:lang w:val="en-US"/>
        </w:rPr>
        <w:t>Brittanica:</w:t>
      </w:r>
    </w:p>
    <w:p w14:paraId="1469E264" w14:textId="23AC0A45" w:rsidR="003876F7" w:rsidRDefault="003876F7">
      <w:pPr>
        <w:pStyle w:val="CommentText"/>
        <w:rPr>
          <w:lang w:val="en-US"/>
        </w:rPr>
      </w:pPr>
      <w:hyperlink r:id="rId2" w:history="1">
        <w:r w:rsidRPr="000B6B0F">
          <w:rPr>
            <w:rStyle w:val="Hyperlink"/>
            <w:lang w:val="en-US"/>
          </w:rPr>
          <w:t>https://nors.ku.dk/publikationer/webpublikationer/encyclopaedica_brittanica/encbrittlille.pdf</w:t>
        </w:r>
      </w:hyperlink>
    </w:p>
    <w:p w14:paraId="51998997" w14:textId="77777777" w:rsidR="003876F7" w:rsidRDefault="003876F7">
      <w:pPr>
        <w:pStyle w:val="CommentText"/>
        <w:rPr>
          <w:lang w:val="en-US"/>
        </w:rPr>
      </w:pPr>
    </w:p>
    <w:p w14:paraId="510BDE9F" w14:textId="3CDD249E" w:rsidR="003876F7" w:rsidRDefault="003876F7">
      <w:pPr>
        <w:pStyle w:val="CommentText"/>
        <w:rPr>
          <w:lang w:val="en-US"/>
        </w:rPr>
      </w:pPr>
      <w:r>
        <w:rPr>
          <w:lang w:val="en-US"/>
        </w:rPr>
        <w:t>Images and manuscript description at Handrit.org:</w:t>
      </w:r>
    </w:p>
    <w:p w14:paraId="24EAAE23" w14:textId="5B77250D" w:rsidR="003876F7" w:rsidRPr="003876F7" w:rsidRDefault="003876F7">
      <w:pPr>
        <w:pStyle w:val="CommentText"/>
        <w:rPr>
          <w:lang w:val="en-US"/>
        </w:rPr>
      </w:pPr>
      <w:hyperlink r:id="rId3" w:history="1">
        <w:r w:rsidRPr="003876F7">
          <w:rPr>
            <w:rStyle w:val="Hyperlink"/>
          </w:rPr>
          <w:t>https://handrit.is/manuscript/view/da/AM08-0076</w:t>
        </w:r>
      </w:hyperlink>
    </w:p>
    <w:p w14:paraId="6A20ECD0" w14:textId="079ADB7E" w:rsidR="000C0CEE" w:rsidRPr="003876F7" w:rsidRDefault="000C0CEE">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192020" w15:done="1"/>
  <w15:commentEx w15:paraId="1B4CD1AE" w15:done="1"/>
  <w15:commentEx w15:paraId="0F4AE2A8" w15:paraIdParent="1B4CD1AE" w15:done="0"/>
  <w15:commentEx w15:paraId="03FF053D" w15:paraIdParent="1B4CD1AE" w15:done="0"/>
  <w15:commentEx w15:paraId="12332383" w15:done="1"/>
  <w15:commentEx w15:paraId="169EF749" w15:paraIdParent="12332383" w15:done="1"/>
  <w15:commentEx w15:paraId="4C9B6B5E" w15:paraIdParent="12332383" w15:done="1"/>
  <w15:commentEx w15:paraId="4FBE4718" w15:paraIdParent="12332383" w15:done="1"/>
  <w15:commentEx w15:paraId="68F1DB5C" w15:done="0"/>
  <w15:commentEx w15:paraId="6A20ECD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A96AD" w16cex:dateUtc="2025-07-09T19:37:00Z"/>
  <w16cex:commentExtensible w16cex:durableId="08D6BE94" w16cex:dateUtc="2025-07-09T19:43:00Z"/>
  <w16cex:commentExtensible w16cex:durableId="74A80FBD" w16cex:dateUtc="2025-07-16T19:48:00Z"/>
  <w16cex:commentExtensible w16cex:durableId="3154CA0D" w16cex:dateUtc="2025-07-16T19:55:00Z"/>
  <w16cex:commentExtensible w16cex:durableId="04B2212C" w16cex:dateUtc="2025-07-09T19:44:00Z"/>
  <w16cex:commentExtensible w16cex:durableId="1258C785" w16cex:dateUtc="2025-07-11T09:33:00Z"/>
  <w16cex:commentExtensible w16cex:durableId="0A58230E" w16cex:dateUtc="2025-07-16T19:56:00Z"/>
  <w16cex:commentExtensible w16cex:durableId="74B1ABCB" w16cex:dateUtc="2025-07-16T20:01:00Z"/>
  <w16cex:commentExtensible w16cex:durableId="012E7843" w16cex:dateUtc="2025-09-11T15:51:00Z"/>
  <w16cex:commentExtensible w16cex:durableId="32097E08" w16cex:dateUtc="2025-07-09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192020" w16cid:durableId="7E1A96AD"/>
  <w16cid:commentId w16cid:paraId="1B4CD1AE" w16cid:durableId="08D6BE94"/>
  <w16cid:commentId w16cid:paraId="0F4AE2A8" w16cid:durableId="74A80FBD"/>
  <w16cid:commentId w16cid:paraId="03FF053D" w16cid:durableId="3154CA0D"/>
  <w16cid:commentId w16cid:paraId="12332383" w16cid:durableId="04B2212C"/>
  <w16cid:commentId w16cid:paraId="169EF749" w16cid:durableId="1258C785"/>
  <w16cid:commentId w16cid:paraId="4C9B6B5E" w16cid:durableId="0A58230E"/>
  <w16cid:commentId w16cid:paraId="4FBE4718" w16cid:durableId="74B1ABCB"/>
  <w16cid:commentId w16cid:paraId="68F1DB5C" w16cid:durableId="012E7843"/>
  <w16cid:commentId w16cid:paraId="6A20ECD0" w16cid:durableId="32097E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rson w15:author="Arendse Inge Lund">
    <w15:presenceInfo w15:providerId="AD" w15:userId="S::hxz328@ku.dk::b5430092-b1d1-4c4c-943a-16946a0a861b"/>
  </w15:person>
  <w15:person w15:author="Seán Vrieland">
    <w15:presenceInfo w15:providerId="AD" w15:userId="S::sfd989@ku.dk::eba661c1-7c13-49b0-b9b2-a05ed24d79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EE"/>
    <w:rsid w:val="000C0CEE"/>
    <w:rsid w:val="000F1CC2"/>
    <w:rsid w:val="001423A9"/>
    <w:rsid w:val="00177D6D"/>
    <w:rsid w:val="001C7BD5"/>
    <w:rsid w:val="0021379A"/>
    <w:rsid w:val="003276F8"/>
    <w:rsid w:val="003561AC"/>
    <w:rsid w:val="003876F7"/>
    <w:rsid w:val="0042510F"/>
    <w:rsid w:val="00444930"/>
    <w:rsid w:val="00555D06"/>
    <w:rsid w:val="006D53C3"/>
    <w:rsid w:val="008130AA"/>
    <w:rsid w:val="00840220"/>
    <w:rsid w:val="008D3BEE"/>
    <w:rsid w:val="008E7031"/>
    <w:rsid w:val="009B05FC"/>
    <w:rsid w:val="00B12062"/>
    <w:rsid w:val="00B96B3E"/>
    <w:rsid w:val="00BE46E3"/>
    <w:rsid w:val="00C705D2"/>
    <w:rsid w:val="00C74462"/>
    <w:rsid w:val="00C81D5E"/>
    <w:rsid w:val="00C96505"/>
    <w:rsid w:val="00F47423"/>
    <w:rsid w:val="00F840C4"/>
    <w:rsid w:val="00FC7C26"/>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61EA"/>
  <w15:docId w15:val="{3BBDC454-F63F-4482-BFC3-98065804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da-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177D6D"/>
    <w:rPr>
      <w:sz w:val="16"/>
      <w:szCs w:val="16"/>
    </w:rPr>
  </w:style>
  <w:style w:type="paragraph" w:styleId="CommentText">
    <w:name w:val="annotation text"/>
    <w:basedOn w:val="Normal"/>
    <w:link w:val="CommentTextChar"/>
    <w:uiPriority w:val="99"/>
    <w:unhideWhenUsed/>
    <w:rsid w:val="00177D6D"/>
    <w:pPr>
      <w:spacing w:line="240" w:lineRule="auto"/>
    </w:pPr>
    <w:rPr>
      <w:sz w:val="20"/>
      <w:szCs w:val="20"/>
    </w:rPr>
  </w:style>
  <w:style w:type="character" w:customStyle="1" w:styleId="CommentTextChar">
    <w:name w:val="Comment Text Char"/>
    <w:basedOn w:val="DefaultParagraphFont"/>
    <w:link w:val="CommentText"/>
    <w:uiPriority w:val="99"/>
    <w:rsid w:val="00177D6D"/>
    <w:rPr>
      <w:sz w:val="20"/>
      <w:szCs w:val="20"/>
    </w:rPr>
  </w:style>
  <w:style w:type="paragraph" w:styleId="CommentSubject">
    <w:name w:val="annotation subject"/>
    <w:basedOn w:val="CommentText"/>
    <w:next w:val="CommentText"/>
    <w:link w:val="CommentSubjectChar"/>
    <w:uiPriority w:val="99"/>
    <w:semiHidden/>
    <w:unhideWhenUsed/>
    <w:rsid w:val="00177D6D"/>
    <w:rPr>
      <w:b/>
      <w:bCs/>
    </w:rPr>
  </w:style>
  <w:style w:type="character" w:customStyle="1" w:styleId="CommentSubjectChar">
    <w:name w:val="Comment Subject Char"/>
    <w:basedOn w:val="CommentTextChar"/>
    <w:link w:val="CommentSubject"/>
    <w:uiPriority w:val="99"/>
    <w:semiHidden/>
    <w:rsid w:val="00177D6D"/>
    <w:rPr>
      <w:b/>
      <w:bCs/>
      <w:sz w:val="20"/>
      <w:szCs w:val="20"/>
    </w:rPr>
  </w:style>
  <w:style w:type="paragraph" w:styleId="Revision">
    <w:name w:val="Revision"/>
    <w:hidden/>
    <w:uiPriority w:val="99"/>
    <w:semiHidden/>
    <w:rsid w:val="000C0CEE"/>
    <w:pPr>
      <w:spacing w:line="240" w:lineRule="auto"/>
    </w:pPr>
  </w:style>
  <w:style w:type="character" w:styleId="Hyperlink">
    <w:name w:val="Hyperlink"/>
    <w:basedOn w:val="DefaultParagraphFont"/>
    <w:uiPriority w:val="99"/>
    <w:unhideWhenUsed/>
    <w:rsid w:val="003876F7"/>
    <w:rPr>
      <w:color w:val="0000FF" w:themeColor="hyperlink"/>
      <w:u w:val="single"/>
    </w:rPr>
  </w:style>
  <w:style w:type="character" w:styleId="UnresolvedMention">
    <w:name w:val="Unresolved Mention"/>
    <w:basedOn w:val="DefaultParagraphFont"/>
    <w:uiPriority w:val="99"/>
    <w:semiHidden/>
    <w:unhideWhenUsed/>
    <w:rsid w:val="00387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handrit.is/manuscript/view/da/AM08-0076" TargetMode="External"/><Relationship Id="rId2" Type="http://schemas.openxmlformats.org/officeDocument/2006/relationships/hyperlink" Target="https://nors.ku.dk/publikationer/webpublikationer/encyclopaedica_brittanica/encbrittlille.pdf" TargetMode="External"/><Relationship Id="rId1" Type="http://schemas.openxmlformats.org/officeDocument/2006/relationships/hyperlink" Target="https://manuscript.ku.dk/motm/a-schoolteachers-handbook/"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handrit.is/manuscript/view/en/AM08-0076/1" TargetMode="External"/><Relationship Id="rId11" Type="http://schemas.openxmlformats.org/officeDocument/2006/relationships/hyperlink" Target="https://manuscript.ku.dk/motm/a-schoolteachers-handbook/" TargetMode="External"/><Relationship Id="rId5" Type="http://schemas.openxmlformats.org/officeDocument/2006/relationships/image" Target="media/image1.png"/><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0B8D6-D938-497D-A89F-93B9F1517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1197</Words>
  <Characters>6827</Characters>
  <Application>Microsoft Office Word</Application>
  <DocSecurity>0</DocSecurity>
  <Lines>56</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Copenhagen</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Arendse Inge Lund</dc:creator>
  <cp:lastModifiedBy>Seán Vrieland</cp:lastModifiedBy>
  <cp:revision>3</cp:revision>
  <dcterms:created xsi:type="dcterms:W3CDTF">2025-09-11T11:33:00Z</dcterms:created>
  <dcterms:modified xsi:type="dcterms:W3CDTF">2025-09-11T16:12:00Z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