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067A7C" w14:textId="77777777" w:rsidR="005853EB" w:rsidRPr="005853EB" w:rsidRDefault="005853EB" w:rsidP="005853EB">
      <w:pPr>
        <w:rPr>
          <w:rFonts w:ascii="Cambria" w:hAnsi="Cambria"/>
          <w:sz w:val="26"/>
          <w:szCs w:val="26"/>
          <w:lang w:val="en-GB"/>
        </w:rPr>
      </w:pPr>
      <w:r w:rsidRPr="005853EB">
        <w:rPr>
          <w:rFonts w:ascii="Cambria" w:hAnsi="Cambria"/>
          <w:sz w:val="26"/>
          <w:szCs w:val="26"/>
          <w:lang w:val="en-GB"/>
        </w:rPr>
        <w:t>Learned prehistory and Danish genealogies</w:t>
      </w:r>
    </w:p>
    <w:p w14:paraId="2095E2C1" w14:textId="77777777" w:rsidR="005853EB" w:rsidRPr="005853EB" w:rsidRDefault="005853EB" w:rsidP="005853EB">
      <w:pPr>
        <w:jc w:val="both"/>
        <w:rPr>
          <w:rFonts w:ascii="Cambria" w:hAnsi="Cambria"/>
          <w:lang w:val="en-GB"/>
        </w:rPr>
      </w:pPr>
      <w:r w:rsidRPr="005853EB">
        <w:rPr>
          <w:rFonts w:ascii="Cambria" w:hAnsi="Cambria"/>
          <w:lang w:val="en-GB"/>
        </w:rPr>
        <w:t xml:space="preserve">AM 764 4to is a miscellaneous manuscript written by several hands (at least ten) and datable around the second half of the fourteenth century. Among the other material, it contains some genealogical material thought to derive from the lost </w:t>
      </w:r>
      <w:r w:rsidRPr="005853EB">
        <w:rPr>
          <w:rFonts w:ascii="Cambria" w:hAnsi="Cambria"/>
          <w:i/>
          <w:iCs/>
          <w:lang w:val="en-GB"/>
        </w:rPr>
        <w:t>*Skjǫldunga saga</w:t>
      </w:r>
      <w:r w:rsidRPr="005853EB">
        <w:rPr>
          <w:rFonts w:ascii="Cambria" w:hAnsi="Cambria"/>
          <w:lang w:val="en-GB"/>
        </w:rPr>
        <w:t>.</w:t>
      </w:r>
    </w:p>
    <w:p w14:paraId="3128DBC2" w14:textId="77777777" w:rsidR="005853EB" w:rsidRPr="005853EB" w:rsidRDefault="005853EB" w:rsidP="005853EB">
      <w:pPr>
        <w:rPr>
          <w:rFonts w:ascii="Cambria" w:hAnsi="Cambria"/>
          <w:sz w:val="24"/>
          <w:szCs w:val="24"/>
          <w:lang w:val="en-GB"/>
        </w:rPr>
      </w:pPr>
      <w:r w:rsidRPr="005853EB">
        <w:rPr>
          <w:rFonts w:ascii="Cambria" w:hAnsi="Cambria"/>
          <w:sz w:val="24"/>
          <w:szCs w:val="24"/>
          <w:lang w:val="en-GB"/>
        </w:rPr>
        <w:t>Universal history and learned material</w:t>
      </w:r>
    </w:p>
    <w:p w14:paraId="07836C8F" w14:textId="77777777" w:rsidR="005853EB" w:rsidRPr="005853EB" w:rsidRDefault="005853EB" w:rsidP="005853EB">
      <w:pPr>
        <w:jc w:val="both"/>
        <w:rPr>
          <w:rFonts w:ascii="Cambria" w:hAnsi="Cambria"/>
          <w:lang w:val="en-GB"/>
        </w:rPr>
      </w:pPr>
      <w:r w:rsidRPr="005853EB">
        <w:rPr>
          <w:rFonts w:ascii="Cambria" w:hAnsi="Cambria"/>
          <w:lang w:val="en-GB"/>
        </w:rPr>
        <w:t xml:space="preserve">AM 764 4to is also known under the name </w:t>
      </w:r>
      <w:r w:rsidRPr="005853EB">
        <w:rPr>
          <w:rFonts w:ascii="Cambria" w:hAnsi="Cambria"/>
          <w:i/>
          <w:iCs/>
          <w:lang w:val="en-GB"/>
        </w:rPr>
        <w:t>Reynistaðarbók</w:t>
      </w:r>
      <w:r w:rsidRPr="005853EB">
        <w:rPr>
          <w:rFonts w:ascii="Cambria" w:hAnsi="Cambria"/>
          <w:lang w:val="en-GB"/>
        </w:rPr>
        <w:t xml:space="preserve">, since it is believed to be a product of the convent of Reynistaður, in Northwest Iceland. It can be dated around 1376-1386. The content of the manuscripts renders well the idea of the rising interest for narratives about the so-called universal history: the first part (fol. 1r-23v) of AM 764 4to contains universal chronicles that, in accordance with the idea of </w:t>
      </w:r>
      <w:r w:rsidRPr="005853EB">
        <w:rPr>
          <w:rFonts w:ascii="Cambria" w:hAnsi="Cambria"/>
          <w:i/>
          <w:iCs/>
          <w:lang w:val="en-GB"/>
        </w:rPr>
        <w:t xml:space="preserve">aetates mundi </w:t>
      </w:r>
      <w:r w:rsidRPr="005853EB">
        <w:rPr>
          <w:rFonts w:ascii="Cambria" w:hAnsi="Cambria"/>
          <w:lang w:val="en-GB"/>
        </w:rPr>
        <w:t xml:space="preserve">(”world ages”) that was overall spread in the Middle Ages through St. Augustine’s </w:t>
      </w:r>
      <w:r w:rsidRPr="005853EB">
        <w:rPr>
          <w:rFonts w:ascii="Cambria" w:hAnsi="Cambria"/>
          <w:i/>
          <w:iCs/>
          <w:lang w:val="en-GB"/>
        </w:rPr>
        <w:t>De civitate dei</w:t>
      </w:r>
      <w:r w:rsidRPr="005853EB">
        <w:rPr>
          <w:rFonts w:ascii="Cambria" w:hAnsi="Cambria"/>
          <w:lang w:val="en-GB"/>
        </w:rPr>
        <w:t xml:space="preserve">, divide the ages of the world into macro-classes. The narration of the first five ages of the world mainly contains a readaption and interpretation of veterotestamental material, juxtaposed with passages about the Trojan war. Other learned histories such as </w:t>
      </w:r>
      <w:r w:rsidRPr="005853EB">
        <w:rPr>
          <w:rFonts w:ascii="Cambria" w:hAnsi="Cambria"/>
          <w:i/>
          <w:iCs/>
          <w:lang w:val="en-GB"/>
        </w:rPr>
        <w:t xml:space="preserve">Breta sögur </w:t>
      </w:r>
      <w:r w:rsidRPr="005853EB">
        <w:rPr>
          <w:rFonts w:ascii="Cambria" w:hAnsi="Cambria"/>
          <w:lang w:val="en-GB"/>
        </w:rPr>
        <w:t xml:space="preserve">(the Icelandic version of Geoffrey of Monmouth’s </w:t>
      </w:r>
      <w:r w:rsidRPr="005853EB">
        <w:rPr>
          <w:rFonts w:ascii="Cambria" w:hAnsi="Cambria"/>
          <w:i/>
          <w:iCs/>
          <w:lang w:val="en-GB"/>
        </w:rPr>
        <w:t>Historia regum Britanniae</w:t>
      </w:r>
      <w:r w:rsidRPr="005853EB">
        <w:rPr>
          <w:rFonts w:ascii="Cambria" w:hAnsi="Cambria"/>
          <w:lang w:val="en-GB"/>
        </w:rPr>
        <w:t xml:space="preserve">) and </w:t>
      </w:r>
      <w:r w:rsidRPr="005853EB">
        <w:rPr>
          <w:rFonts w:ascii="Cambria" w:hAnsi="Cambria"/>
          <w:i/>
          <w:iCs/>
          <w:lang w:val="en-GB"/>
        </w:rPr>
        <w:t xml:space="preserve">Rómverja saga </w:t>
      </w:r>
      <w:r w:rsidRPr="005853EB">
        <w:rPr>
          <w:rFonts w:ascii="Cambria" w:hAnsi="Cambria"/>
          <w:lang w:val="en-GB"/>
        </w:rPr>
        <w:t xml:space="preserve">(an Icelandic readaption of Latin works such as Sallust’s </w:t>
      </w:r>
      <w:r w:rsidRPr="005853EB">
        <w:rPr>
          <w:rFonts w:ascii="Cambria" w:hAnsi="Cambria"/>
          <w:i/>
          <w:iCs/>
          <w:lang w:val="en-GB"/>
        </w:rPr>
        <w:t>De coniuratione Catilinae</w:t>
      </w:r>
      <w:r w:rsidRPr="005853EB">
        <w:rPr>
          <w:rFonts w:ascii="Cambria" w:hAnsi="Cambria"/>
          <w:lang w:val="en-GB"/>
        </w:rPr>
        <w:t xml:space="preserve"> and Lucan’s </w:t>
      </w:r>
      <w:r w:rsidRPr="005853EB">
        <w:rPr>
          <w:rFonts w:ascii="Cambria" w:hAnsi="Cambria"/>
          <w:i/>
          <w:iCs/>
          <w:lang w:val="en-GB"/>
        </w:rPr>
        <w:t>Pharsalia</w:t>
      </w:r>
      <w:r w:rsidRPr="005853EB">
        <w:rPr>
          <w:rFonts w:ascii="Cambria" w:hAnsi="Cambria"/>
          <w:lang w:val="en-GB"/>
        </w:rPr>
        <w:t xml:space="preserve">) complete the narration of the fifth age of the world. The account of sixth age largely employs the Gospels as a source, focusing therefore on Jesus’s life and passion. The last two ages are still to come: they include the description of the coming of the Antichrist and the final Judgement. </w:t>
      </w:r>
    </w:p>
    <w:p w14:paraId="57E85D93" w14:textId="77777777" w:rsidR="005853EB" w:rsidRPr="005853EB" w:rsidRDefault="005853EB" w:rsidP="005853EB">
      <w:pPr>
        <w:rPr>
          <w:rFonts w:ascii="Cambria" w:hAnsi="Cambria"/>
          <w:sz w:val="24"/>
          <w:szCs w:val="24"/>
          <w:lang w:val="en-GB"/>
        </w:rPr>
      </w:pPr>
      <w:r w:rsidRPr="005853EB">
        <w:rPr>
          <w:rFonts w:ascii="Cambria" w:hAnsi="Cambria"/>
          <w:sz w:val="24"/>
          <w:szCs w:val="24"/>
          <w:lang w:val="en-GB"/>
        </w:rPr>
        <w:t xml:space="preserve">Exemplar genealogies </w:t>
      </w:r>
    </w:p>
    <w:p w14:paraId="085AB004" w14:textId="77777777" w:rsidR="005853EB" w:rsidRPr="005853EB" w:rsidRDefault="005853EB" w:rsidP="005853EB">
      <w:pPr>
        <w:jc w:val="both"/>
        <w:rPr>
          <w:rFonts w:ascii="Cambria" w:hAnsi="Cambria"/>
          <w:lang w:val="en-GB"/>
        </w:rPr>
      </w:pPr>
      <w:r w:rsidRPr="005853EB">
        <w:rPr>
          <w:rFonts w:ascii="Cambria" w:hAnsi="Cambria"/>
          <w:lang w:val="en-GB"/>
        </w:rPr>
        <w:t xml:space="preserve">The content of the manuscript, however, is not limited to universal history, even though the second section seems to be to many extents less compact and more lacunous than the first one. It includes legends and </w:t>
      </w:r>
      <w:r w:rsidRPr="005853EB">
        <w:rPr>
          <w:rFonts w:ascii="Cambria" w:hAnsi="Cambria"/>
          <w:i/>
          <w:iCs/>
          <w:lang w:val="en-GB"/>
        </w:rPr>
        <w:t>exempla</w:t>
      </w:r>
      <w:r w:rsidRPr="005853EB">
        <w:rPr>
          <w:rFonts w:ascii="Cambria" w:hAnsi="Cambria"/>
          <w:lang w:val="en-GB"/>
        </w:rPr>
        <w:t xml:space="preserve"> from lives of saints and popes, together with annalistic lists. Among the other accounts some chapters from </w:t>
      </w:r>
      <w:r w:rsidRPr="005853EB">
        <w:rPr>
          <w:rFonts w:ascii="Cambria" w:hAnsi="Cambria"/>
          <w:i/>
          <w:iCs/>
          <w:lang w:val="en-GB"/>
        </w:rPr>
        <w:t>Óláfs saga Tryggvasonar</w:t>
      </w:r>
      <w:r w:rsidRPr="005853EB">
        <w:rPr>
          <w:rFonts w:ascii="Cambria" w:hAnsi="Cambria"/>
          <w:lang w:val="en-GB"/>
        </w:rPr>
        <w:t xml:space="preserve"> are inserted within the </w:t>
      </w:r>
      <w:r w:rsidRPr="005853EB">
        <w:rPr>
          <w:rFonts w:ascii="Cambria" w:hAnsi="Cambria"/>
          <w:i/>
          <w:iCs/>
          <w:lang w:val="en-GB"/>
        </w:rPr>
        <w:t>exempla</w:t>
      </w:r>
      <w:r w:rsidRPr="005853EB">
        <w:rPr>
          <w:rFonts w:ascii="Cambria" w:hAnsi="Cambria"/>
          <w:lang w:val="en-GB"/>
        </w:rPr>
        <w:t xml:space="preserve">. It is therefore interesting to note how, around the half of </w:t>
      </w:r>
      <w:r w:rsidRPr="005853EB">
        <w:rPr>
          <w:rFonts w:ascii="Cambria" w:hAnsi="Cambria"/>
          <w:i/>
          <w:iCs/>
          <w:lang w:val="en-GB"/>
        </w:rPr>
        <w:t>folio</w:t>
      </w:r>
      <w:r w:rsidRPr="005853EB">
        <w:rPr>
          <w:rFonts w:ascii="Cambria" w:hAnsi="Cambria"/>
          <w:lang w:val="en-GB"/>
        </w:rPr>
        <w:t xml:space="preserve"> 40r, the account of the great saga of Óláfr Tryggvason terminates in a narrative genealogy which is known with the name </w:t>
      </w:r>
      <w:r w:rsidRPr="005853EB">
        <w:rPr>
          <w:rFonts w:ascii="Cambria" w:hAnsi="Cambria"/>
          <w:i/>
          <w:iCs/>
          <w:lang w:val="en-GB"/>
        </w:rPr>
        <w:t>Upphaf allra frásagna</w:t>
      </w:r>
      <w:r w:rsidRPr="005853EB">
        <w:rPr>
          <w:rFonts w:ascii="Cambria" w:hAnsi="Cambria"/>
          <w:lang w:val="en-GB"/>
        </w:rPr>
        <w:t xml:space="preserve"> (“The beginning of all narratives”). </w:t>
      </w:r>
      <w:r w:rsidRPr="005853EB">
        <w:rPr>
          <w:rFonts w:ascii="Cambria" w:hAnsi="Cambria"/>
          <w:i/>
          <w:iCs/>
          <w:lang w:val="en-GB"/>
        </w:rPr>
        <w:t xml:space="preserve">Upphaf allra frásagna </w:t>
      </w:r>
      <w:r w:rsidRPr="005853EB">
        <w:rPr>
          <w:rFonts w:ascii="Cambria" w:hAnsi="Cambria"/>
          <w:lang w:val="en-GB"/>
        </w:rPr>
        <w:t>traces the first rows of a genealogy of Danish kings, which were ultimately thought to derive from Odin.</w:t>
      </w:r>
    </w:p>
    <w:p w14:paraId="1A1F343D" w14:textId="77777777" w:rsidR="005853EB" w:rsidRPr="005853EB" w:rsidRDefault="005853EB" w:rsidP="005853EB">
      <w:pPr>
        <w:rPr>
          <w:rFonts w:ascii="Cambria" w:hAnsi="Cambria"/>
          <w:sz w:val="24"/>
          <w:szCs w:val="24"/>
          <w:lang w:val="en-GB"/>
        </w:rPr>
      </w:pPr>
      <w:r w:rsidRPr="005853EB">
        <w:rPr>
          <w:rFonts w:ascii="Cambria" w:hAnsi="Cambria"/>
          <w:sz w:val="24"/>
          <w:szCs w:val="24"/>
          <w:lang w:val="en-GB"/>
        </w:rPr>
        <w:t>From Odin to Froði</w:t>
      </w:r>
    </w:p>
    <w:p w14:paraId="3A23D723" w14:textId="77777777" w:rsidR="005853EB" w:rsidRPr="005853EB" w:rsidRDefault="005853EB" w:rsidP="005853EB">
      <w:pPr>
        <w:jc w:val="both"/>
        <w:rPr>
          <w:rFonts w:ascii="Cambria" w:hAnsi="Cambria"/>
          <w:lang w:val="en-GB"/>
        </w:rPr>
      </w:pPr>
      <w:r w:rsidRPr="005853EB">
        <w:rPr>
          <w:rFonts w:ascii="Cambria" w:hAnsi="Cambria"/>
          <w:i/>
          <w:iCs/>
          <w:lang w:val="en-GB"/>
        </w:rPr>
        <w:t xml:space="preserve">Upphaf allra frásagna </w:t>
      </w:r>
      <w:r w:rsidRPr="005853EB">
        <w:rPr>
          <w:rFonts w:ascii="Cambria" w:hAnsi="Cambria"/>
          <w:lang w:val="en-GB"/>
        </w:rPr>
        <w:t xml:space="preserve">introduces the genealogical material by explaining that Turks and people from Asia brought the northern language to Saxony, Scandinavia, and some areas of England. It was not uncommon for genealogies to claim a descent from the East and especially from the Trojans: it was also what Vergil had done with the </w:t>
      </w:r>
      <w:r w:rsidRPr="005853EB">
        <w:rPr>
          <w:rFonts w:ascii="Cambria" w:hAnsi="Cambria"/>
          <w:i/>
          <w:iCs/>
          <w:lang w:val="en-GB"/>
        </w:rPr>
        <w:t>Aeneid</w:t>
      </w:r>
      <w:r w:rsidRPr="005853EB">
        <w:rPr>
          <w:rFonts w:ascii="Cambria" w:hAnsi="Cambria"/>
          <w:lang w:val="en-GB"/>
        </w:rPr>
        <w:t xml:space="preserve">. It is highly plausible that the idea of connecting the genealogy to the Trojan myth was derived from Frankish sources. The prologue to </w:t>
      </w:r>
      <w:r w:rsidRPr="005853EB">
        <w:rPr>
          <w:rFonts w:ascii="Cambria" w:hAnsi="Cambria"/>
          <w:i/>
          <w:iCs/>
          <w:lang w:val="en-GB"/>
        </w:rPr>
        <w:t>Snorra Edda</w:t>
      </w:r>
      <w:r w:rsidRPr="005853EB">
        <w:rPr>
          <w:rFonts w:ascii="Cambria" w:hAnsi="Cambria"/>
          <w:lang w:val="en-GB"/>
        </w:rPr>
        <w:t xml:space="preserve"> accounts for the same kind of learned prehistory: the association between </w:t>
      </w:r>
      <w:r w:rsidRPr="005853EB">
        <w:rPr>
          <w:rFonts w:ascii="Cambria" w:hAnsi="Cambria"/>
          <w:lang w:val="is-IS"/>
        </w:rPr>
        <w:t>Æsir and Asia was furthermore helped through paraetimological similarities.</w:t>
      </w:r>
      <w:r w:rsidRPr="005853EB">
        <w:rPr>
          <w:rFonts w:ascii="Cambria" w:hAnsi="Cambria"/>
          <w:lang w:val="en-GB"/>
        </w:rPr>
        <w:t xml:space="preserve"> According to </w:t>
      </w:r>
      <w:r w:rsidRPr="005853EB">
        <w:rPr>
          <w:rFonts w:ascii="Cambria" w:hAnsi="Cambria"/>
          <w:i/>
          <w:iCs/>
          <w:lang w:val="en-GB"/>
        </w:rPr>
        <w:t>Upphaf allra frásagna</w:t>
      </w:r>
      <w:r w:rsidRPr="005853EB">
        <w:rPr>
          <w:rFonts w:ascii="Cambria" w:hAnsi="Cambria"/>
          <w:lang w:val="en-GB"/>
        </w:rPr>
        <w:t>, Odin was son of Thor, and he was the leader of the migration from Asia to the North. Odin had many sons: among them Skjǫldr and Ingifreyr, namely the rulers of the future Denmark and Sweden. The genealogy then lists Leifr, Odin’s son, and ends with Froði, son of Leifr.</w:t>
      </w:r>
    </w:p>
    <w:p w14:paraId="0C011E6D" w14:textId="77777777" w:rsidR="005853EB" w:rsidRPr="005853EB" w:rsidRDefault="005853EB" w:rsidP="005853EB">
      <w:pPr>
        <w:rPr>
          <w:rFonts w:ascii="Cambria" w:hAnsi="Cambria"/>
          <w:sz w:val="24"/>
          <w:szCs w:val="24"/>
          <w:lang w:val="en-GB"/>
        </w:rPr>
      </w:pPr>
      <w:r w:rsidRPr="005853EB">
        <w:rPr>
          <w:rFonts w:ascii="Cambria" w:hAnsi="Cambria"/>
          <w:sz w:val="24"/>
          <w:szCs w:val="24"/>
          <w:lang w:val="en-GB"/>
        </w:rPr>
        <w:t>Skjǫldr: the legendary first king of Denmark</w:t>
      </w:r>
    </w:p>
    <w:p w14:paraId="21F904BB" w14:textId="77777777" w:rsidR="005853EB" w:rsidRPr="005853EB" w:rsidRDefault="005853EB" w:rsidP="005853EB">
      <w:pPr>
        <w:jc w:val="both"/>
        <w:rPr>
          <w:rFonts w:ascii="Cambria" w:hAnsi="Cambria"/>
          <w:lang w:val="en-GB"/>
        </w:rPr>
      </w:pPr>
      <w:r w:rsidRPr="005853EB">
        <w:rPr>
          <w:rFonts w:ascii="Cambria" w:hAnsi="Cambria"/>
          <w:lang w:val="en-GB"/>
        </w:rPr>
        <w:t xml:space="preserve">By tracing the genealogical row of the kings back to Skjǫldr, </w:t>
      </w:r>
      <w:r w:rsidRPr="005853EB">
        <w:rPr>
          <w:rFonts w:ascii="Cambria" w:hAnsi="Cambria"/>
          <w:i/>
          <w:iCs/>
          <w:lang w:val="en-GB"/>
        </w:rPr>
        <w:t xml:space="preserve">Upphaf allra frásagna </w:t>
      </w:r>
      <w:r w:rsidRPr="005853EB">
        <w:rPr>
          <w:rFonts w:ascii="Cambria" w:hAnsi="Cambria"/>
          <w:lang w:val="en-GB"/>
        </w:rPr>
        <w:t xml:space="preserve">is thought to be an important witness in order to reconstruct the narrative core of the lost </w:t>
      </w:r>
      <w:r w:rsidRPr="005853EB">
        <w:rPr>
          <w:rFonts w:ascii="Cambria" w:hAnsi="Cambria"/>
          <w:i/>
          <w:iCs/>
          <w:lang w:val="en-GB"/>
        </w:rPr>
        <w:t>Skjǫldunga saga</w:t>
      </w:r>
      <w:r w:rsidRPr="005853EB">
        <w:rPr>
          <w:rFonts w:ascii="Cambria" w:hAnsi="Cambria"/>
          <w:lang w:val="en-GB"/>
        </w:rPr>
        <w:t xml:space="preserve">. This saga is not preserved, except probably for some fragments of its younger redaction, but can be deduced thanks to </w:t>
      </w:r>
      <w:r w:rsidRPr="005853EB">
        <w:rPr>
          <w:rFonts w:ascii="Cambria" w:hAnsi="Cambria"/>
          <w:i/>
          <w:iCs/>
          <w:lang w:val="en-GB"/>
        </w:rPr>
        <w:t xml:space="preserve">Rerum Danicarum Fragmenta </w:t>
      </w:r>
      <w:r w:rsidRPr="005853EB">
        <w:rPr>
          <w:rFonts w:ascii="Cambria" w:hAnsi="Cambria"/>
          <w:lang w:val="en-GB"/>
        </w:rPr>
        <w:t xml:space="preserve">(1596), a Latin rendering by the Icelander humanist Arngrímur Jónsson. </w:t>
      </w:r>
      <w:r w:rsidRPr="005853EB">
        <w:rPr>
          <w:rFonts w:ascii="Cambria" w:hAnsi="Cambria"/>
          <w:i/>
          <w:iCs/>
          <w:lang w:val="en-GB"/>
        </w:rPr>
        <w:t>Upphaf allra frásagna</w:t>
      </w:r>
      <w:r w:rsidRPr="005853EB">
        <w:rPr>
          <w:rFonts w:ascii="Cambria" w:hAnsi="Cambria"/>
          <w:lang w:val="en-GB"/>
        </w:rPr>
        <w:t xml:space="preserve"> is an example of how even short lines of genealogy can help in understanding the source that lies behind them: especially for the second part of the fragment, dealing with Leifr and Fro</w:t>
      </w:r>
      <w:r w:rsidRPr="005853EB">
        <w:rPr>
          <w:rFonts w:ascii="Cambria" w:hAnsi="Cambria"/>
          <w:lang w:val="is-IS"/>
        </w:rPr>
        <w:t>ði</w:t>
      </w:r>
      <w:r w:rsidRPr="005853EB">
        <w:rPr>
          <w:rFonts w:ascii="Cambria" w:hAnsi="Cambria"/>
          <w:lang w:val="da-DK"/>
        </w:rPr>
        <w:t>,</w:t>
      </w:r>
      <w:r w:rsidRPr="005853EB">
        <w:rPr>
          <w:rFonts w:ascii="Cambria" w:hAnsi="Cambria"/>
          <w:lang w:val="en-GB"/>
        </w:rPr>
        <w:t xml:space="preserve"> </w:t>
      </w:r>
      <w:r w:rsidRPr="005853EB">
        <w:rPr>
          <w:rFonts w:ascii="Cambria" w:hAnsi="Cambria"/>
          <w:lang w:val="en-GB"/>
        </w:rPr>
        <w:lastRenderedPageBreak/>
        <w:t xml:space="preserve">Arngrímur’s account seems to be perfectly compatible with the one in </w:t>
      </w:r>
      <w:r w:rsidRPr="005853EB">
        <w:rPr>
          <w:rFonts w:ascii="Cambria" w:hAnsi="Cambria"/>
          <w:i/>
          <w:iCs/>
          <w:lang w:val="en-GB"/>
        </w:rPr>
        <w:t>Upphaf</w:t>
      </w:r>
      <w:r w:rsidRPr="005853EB">
        <w:rPr>
          <w:rFonts w:ascii="Cambria" w:hAnsi="Cambria"/>
          <w:lang w:val="en-GB"/>
        </w:rPr>
        <w:t xml:space="preserve">. It is therefore high likely that the source the two compilers were using was the same. </w:t>
      </w:r>
    </w:p>
    <w:p w14:paraId="69373832" w14:textId="77777777" w:rsidR="005853EB" w:rsidRPr="005853EB" w:rsidRDefault="005853EB" w:rsidP="005853EB">
      <w:pPr>
        <w:rPr>
          <w:rFonts w:ascii="Cambria" w:hAnsi="Cambria"/>
        </w:rPr>
      </w:pPr>
    </w:p>
    <w:p w14:paraId="0673D433" w14:textId="6C430F83" w:rsidR="005853EB" w:rsidRPr="005853EB" w:rsidRDefault="005853EB" w:rsidP="005853EB">
      <w:pPr>
        <w:rPr>
          <w:rFonts w:ascii="Cambria" w:hAnsi="Cambria"/>
        </w:rPr>
      </w:pPr>
      <w:r w:rsidRPr="005853EB">
        <w:rPr>
          <w:rFonts w:ascii="Cambria" w:hAnsi="Cambria"/>
        </w:rPr>
        <w:t xml:space="preserve">Bjarni Guðnason (1963), </w:t>
      </w:r>
      <w:r w:rsidRPr="005853EB">
        <w:rPr>
          <w:rFonts w:ascii="Cambria" w:hAnsi="Cambria"/>
          <w:i/>
          <w:iCs/>
        </w:rPr>
        <w:t>Um Skjöldungasögu</w:t>
      </w:r>
      <w:r w:rsidRPr="005853EB">
        <w:rPr>
          <w:rFonts w:ascii="Cambria" w:hAnsi="Cambria"/>
        </w:rPr>
        <w:t>, Reykjavík, Bókaútgáfa menningarsjóðs.</w:t>
      </w:r>
      <w:r w:rsidRPr="005853EB">
        <w:rPr>
          <w:rFonts w:ascii="Cambria" w:hAnsi="Cambria"/>
        </w:rPr>
        <w:br/>
      </w:r>
      <w:r w:rsidRPr="005853EB">
        <w:rPr>
          <w:rFonts w:ascii="Cambria" w:hAnsi="Cambria"/>
          <w:lang w:val="is-IS"/>
        </w:rPr>
        <w:t xml:space="preserve">Bjarni Guðnason (1982), </w:t>
      </w:r>
      <w:r w:rsidRPr="005853EB">
        <w:rPr>
          <w:rFonts w:ascii="Cambria" w:hAnsi="Cambria"/>
          <w:i/>
          <w:iCs/>
          <w:lang w:val="is-IS"/>
        </w:rPr>
        <w:t>Danakonunga sǫgur</w:t>
      </w:r>
      <w:r w:rsidRPr="005853EB">
        <w:rPr>
          <w:rFonts w:ascii="Cambria" w:hAnsi="Cambria"/>
          <w:lang w:val="is-IS"/>
        </w:rPr>
        <w:t>, Reykjavík, Hið íslenzka fornritafélag.</w:t>
      </w:r>
      <w:r w:rsidRPr="005853EB">
        <w:rPr>
          <w:rFonts w:ascii="Cambria" w:hAnsi="Cambria"/>
          <w:lang w:val="is-IS"/>
        </w:rPr>
        <w:br/>
      </w:r>
      <w:r w:rsidRPr="005853EB">
        <w:rPr>
          <w:rFonts w:ascii="Cambria" w:hAnsi="Cambria"/>
          <w:lang w:val="de-DE"/>
        </w:rPr>
        <w:t xml:space="preserve">Bruce, Alexander (2002), </w:t>
      </w:r>
      <w:r w:rsidRPr="005853EB">
        <w:rPr>
          <w:rFonts w:ascii="Cambria" w:hAnsi="Cambria"/>
          <w:i/>
          <w:iCs/>
          <w:lang w:val="de-DE"/>
        </w:rPr>
        <w:t>Scyld</w:t>
      </w:r>
      <w:r w:rsidRPr="005853EB">
        <w:rPr>
          <w:rFonts w:ascii="Cambria" w:hAnsi="Cambria"/>
          <w:i/>
          <w:iCs/>
          <w:lang w:val="is-IS"/>
        </w:rPr>
        <w:t xml:space="preserve"> and </w:t>
      </w:r>
      <w:r w:rsidRPr="005853EB">
        <w:rPr>
          <w:rFonts w:ascii="Cambria" w:hAnsi="Cambria"/>
          <w:i/>
          <w:iCs/>
        </w:rPr>
        <w:t>Scef: expanding the analogues</w:t>
      </w:r>
      <w:r w:rsidRPr="005853EB">
        <w:rPr>
          <w:rFonts w:ascii="Cambria" w:hAnsi="Cambria"/>
        </w:rPr>
        <w:t>, London, Routledge.</w:t>
      </w:r>
      <w:r w:rsidR="00CE51DA">
        <w:rPr>
          <w:rFonts w:ascii="Cambria" w:hAnsi="Cambria"/>
        </w:rPr>
        <w:br/>
      </w:r>
      <w:r w:rsidR="00CE51DA" w:rsidRPr="00CE51DA">
        <w:rPr>
          <w:rFonts w:ascii="Cambria" w:hAnsi="Cambria"/>
          <w:lang w:val="de-DE"/>
        </w:rPr>
        <w:t xml:space="preserve">Clunies Ross, Margaret (1993), </w:t>
      </w:r>
      <w:r w:rsidR="00CE51DA">
        <w:rPr>
          <w:rFonts w:ascii="Cambria" w:hAnsi="Cambria"/>
        </w:rPr>
        <w:t>“</w:t>
      </w:r>
      <w:r w:rsidR="00CE51DA" w:rsidRPr="00CE51DA">
        <w:rPr>
          <w:rFonts w:ascii="Cambria" w:hAnsi="Cambria"/>
          <w:lang w:val="de-DE"/>
        </w:rPr>
        <w:t xml:space="preserve">The Development of Old Norse Textual Worlds: Genealogical Structure as a Principle of Literary Organization in Early Iceland“ in </w:t>
      </w:r>
      <w:r w:rsidR="00CE51DA" w:rsidRPr="00CE51DA">
        <w:rPr>
          <w:rFonts w:ascii="Cambria" w:hAnsi="Cambria"/>
          <w:i/>
          <w:iCs/>
          <w:lang w:val="de-DE"/>
        </w:rPr>
        <w:t xml:space="preserve">The Journal of English and Germanic Philology </w:t>
      </w:r>
      <w:r w:rsidR="00CE51DA" w:rsidRPr="00CE51DA">
        <w:rPr>
          <w:rFonts w:ascii="Cambria" w:hAnsi="Cambria"/>
          <w:lang w:val="de-DE"/>
        </w:rPr>
        <w:t>92, 3: 372-85.</w:t>
      </w:r>
      <w:r w:rsidRPr="005853EB">
        <w:rPr>
          <w:rFonts w:ascii="Cambria" w:hAnsi="Cambria"/>
        </w:rPr>
        <w:br/>
        <w:t xml:space="preserve">Del Zotto, Carla (2013), “Il mito di Troia e la migrazione di Odino in Scandinavia” in </w:t>
      </w:r>
      <w:r w:rsidRPr="005853EB">
        <w:rPr>
          <w:rFonts w:ascii="Cambria" w:hAnsi="Cambria"/>
          <w:i/>
          <w:iCs/>
        </w:rPr>
        <w:t>Rivista di cultura classica e medievale</w:t>
      </w:r>
      <w:r w:rsidRPr="005853EB">
        <w:rPr>
          <w:rFonts w:ascii="Cambria" w:hAnsi="Cambria"/>
        </w:rPr>
        <w:t>, 55, 2: 489-515.</w:t>
      </w:r>
      <w:r w:rsidRPr="005853EB">
        <w:rPr>
          <w:rFonts w:ascii="Cambria" w:hAnsi="Cambria"/>
        </w:rPr>
        <w:br/>
      </w:r>
      <w:r w:rsidRPr="005853EB">
        <w:rPr>
          <w:rFonts w:ascii="Cambria" w:hAnsi="Cambria"/>
          <w:lang w:val="is-IS"/>
        </w:rPr>
        <w:t xml:space="preserve">Faulkes, Anthony (1982), </w:t>
      </w:r>
      <w:r w:rsidRPr="005853EB">
        <w:rPr>
          <w:rFonts w:ascii="Cambria" w:hAnsi="Cambria"/>
        </w:rPr>
        <w:t>“</w:t>
      </w:r>
      <w:r w:rsidRPr="005853EB">
        <w:rPr>
          <w:rFonts w:ascii="Cambria" w:hAnsi="Cambria"/>
          <w:lang w:val="is-IS"/>
        </w:rPr>
        <w:t xml:space="preserve">Descent from the gods“ in </w:t>
      </w:r>
      <w:r w:rsidRPr="005853EB">
        <w:rPr>
          <w:rFonts w:ascii="Cambria" w:hAnsi="Cambria"/>
          <w:i/>
          <w:iCs/>
          <w:lang w:val="is-IS"/>
        </w:rPr>
        <w:t>Mediaeval Scandinavia</w:t>
      </w:r>
      <w:r w:rsidRPr="005853EB">
        <w:rPr>
          <w:rFonts w:ascii="Cambria" w:hAnsi="Cambria"/>
          <w:lang w:val="is-IS"/>
        </w:rPr>
        <w:t xml:space="preserve"> 11: 92-125.</w:t>
      </w:r>
      <w:r w:rsidRPr="005853EB">
        <w:rPr>
          <w:rFonts w:ascii="Cambria" w:hAnsi="Cambria"/>
        </w:rPr>
        <w:br/>
      </w:r>
      <w:r w:rsidRPr="005853EB">
        <w:rPr>
          <w:rFonts w:ascii="Cambria" w:hAnsi="Cambria"/>
          <w:lang w:val="is-IS"/>
        </w:rPr>
        <w:t xml:space="preserve">Heusler, Andreas (1908), </w:t>
      </w:r>
      <w:r w:rsidRPr="005853EB">
        <w:rPr>
          <w:rFonts w:ascii="Cambria" w:hAnsi="Cambria"/>
          <w:i/>
          <w:iCs/>
          <w:lang w:val="is-IS"/>
        </w:rPr>
        <w:t>Die gelehrte Urgeschichte im altisländischen Schriftum</w:t>
      </w:r>
      <w:r w:rsidRPr="005853EB">
        <w:rPr>
          <w:rFonts w:ascii="Cambria" w:hAnsi="Cambria"/>
          <w:lang w:val="is-IS"/>
        </w:rPr>
        <w:t>, Berlin, Verlag der Königlichen Akademie der Wissenschaften.</w:t>
      </w:r>
      <w:r w:rsidRPr="005853EB">
        <w:rPr>
          <w:rFonts w:ascii="Cambria" w:hAnsi="Cambria"/>
          <w:lang w:val="is-IS"/>
        </w:rPr>
        <w:br/>
        <w:t xml:space="preserve">Svanildhur Óskarsdóttir (2000), </w:t>
      </w:r>
      <w:r w:rsidRPr="005853EB">
        <w:rPr>
          <w:rFonts w:ascii="Cambria" w:hAnsi="Cambria"/>
          <w:i/>
          <w:iCs/>
          <w:lang w:val="is-IS"/>
        </w:rPr>
        <w:t>Universal history in fourteenth</w:t>
      </w:r>
      <w:r w:rsidRPr="005853EB">
        <w:rPr>
          <w:rFonts w:ascii="Cambria" w:hAnsi="Cambria"/>
          <w:i/>
          <w:iCs/>
          <w:lang w:val="da-DK"/>
        </w:rPr>
        <w:t>-century Iceland. Studies in AM 764 4to</w:t>
      </w:r>
      <w:r w:rsidRPr="005853EB">
        <w:rPr>
          <w:rFonts w:ascii="Cambria" w:hAnsi="Cambria"/>
          <w:lang w:val="da-DK"/>
        </w:rPr>
        <w:t xml:space="preserve"> (PhD dissertation), University College London.</w:t>
      </w:r>
      <w:r w:rsidRPr="005853EB">
        <w:rPr>
          <w:rFonts w:ascii="Cambria" w:hAnsi="Cambria"/>
          <w:lang w:val="is-IS"/>
        </w:rPr>
        <w:br/>
      </w:r>
    </w:p>
    <w:p w14:paraId="01B9A235" w14:textId="77777777" w:rsidR="002B0A16" w:rsidRPr="005853EB" w:rsidRDefault="002B0A16">
      <w:pPr>
        <w:rPr>
          <w:rFonts w:ascii="Cambria" w:hAnsi="Cambria"/>
        </w:rPr>
      </w:pPr>
    </w:p>
    <w:sectPr w:rsidR="002B0A16" w:rsidRPr="005853EB">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4979"/>
    <w:rsid w:val="002B0A16"/>
    <w:rsid w:val="005853EB"/>
    <w:rsid w:val="008F4979"/>
    <w:rsid w:val="00CE51DA"/>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58FF8A"/>
  <w15:chartTrackingRefBased/>
  <w15:docId w15:val="{F4838133-C932-4652-A7E8-3EADD1AE1A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775</Words>
  <Characters>4421</Characters>
  <Application>Microsoft Office Word</Application>
  <DocSecurity>0</DocSecurity>
  <Lines>36</Lines>
  <Paragraphs>10</Paragraphs>
  <ScaleCrop>false</ScaleCrop>
  <Company/>
  <LinksUpToDate>false</LinksUpToDate>
  <CharactersWithSpaces>5186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Lucia Santercole</dc:creator>
  <cp:keywords/>
  <dc:description/>
  <cp:lastModifiedBy>Lucia Santercole</cp:lastModifiedBy>
  <cp:revision>3</cp:revision>
  <dcterms:created xsi:type="dcterms:W3CDTF">2022-11-08T15:12:00Z</dcterms:created>
  <dcterms:modified xsi:type="dcterms:W3CDTF">2022-11-08T15:16:00Z</dcterms:modified>
</cp:coreProperties>
</file>