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sz w:val="28"/>
          <w:szCs w:val="28"/>
        </w:rPr>
        <w:t xml:space="preserve">Ⅱ. 관련 연구</w:t>
      </w:r>
    </w:p>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본 장은 제안 프레임워크의 이론적 기반이 되는 여섯 분야의 선행 연구를 검토하며, 각 분야에서 **기존 연구가 해결하지 못한 공백**을 구체적으로 규명하는 데 초점을 맞춘다. 이러한 공백들이 본 박사학위 논문이 채우는 자리이며, Ⅵ장의 실험 결과는 이 공백을 실제로 메웠음을 구체적 수치로 실증한다. 1절에서 벡터 기반 RAG, 2절에서 그래프 기반 RAG, 3절에서 온톨로지 기반 추론, 4절에서 강화학습의 RAG 응용, 5절에서 하이브리드/적응적 RAG, 6절에서 의료·제약 도메인 RAG를 다루고, 7절에서 본 연구의 차별성을 정리한다.</w:t>
      </w:r>
    </w:p>
    <w:p>
      <w:pPr>
        <w:pStyle w:val="Heading2"/>
        <w:spacing w:after="180" w:before="360"/>
      </w:pPr>
      <w:r>
        <w:rPr>
          <w:rFonts w:ascii="Batang" w:cs="Batang" w:eastAsia="Batang" w:hAnsi="Batang"/>
          <w:b/>
          <w:bCs/>
          <w:sz w:val="24"/>
          <w:szCs w:val="24"/>
        </w:rPr>
        <w:t xml:space="preserve">1. 벡터 기반 RAG와 구조적 한계</w:t>
      </w:r>
    </w:p>
    <w:p>
      <w:pPr>
        <w:spacing w:after="120" w:line="320"/>
        <w:ind w:firstLine="380"/>
      </w:pPr>
      <w:r>
        <w:rPr>
          <w:rFonts w:ascii="Batang" w:cs="Batang" w:eastAsia="Batang" w:hAnsi="Batang"/>
          <w:b w:val="false"/>
          <w:bCs w:val="false"/>
          <w:sz w:val="20"/>
          <w:szCs w:val="20"/>
        </w:rPr>
        <w:t xml:space="preserve">Lewis et al.(2020)이 NeurIPS에서 제안한 RAG(Retrieval-Augmented Generation)는 DPR(Karpukhin et al., 2020) 기반 벡터 검색과 BART 기반 생성기를 결합하여, 외부 지식을 동적으로 참조함으로써 언어 모델의 환각을 완화하는 선구적 프레임워크이다. 이후 Naive RAG → Advanced RAG(검색 전/후 처리) → Modular RAG(유연한 모듈 조합)의 세 세대 발전을 거쳤으며(Gao et al., 2024), 본 연구의 Triple-Hybrid RAG는 Modular RAG 계열에 속한다. 최근 2024년에는 자기 반영 기반 검색인 **Self-RAG**(Asai et al., 2024)와 잘못된 검색 결과를 교정하는 **CRAG**(Yan et al., 2024)가 제안되어 검색 품질 향상의 새로운 방향을 제시하였으나, 이들 연구 역시 **단일 벡터 소스**에 의존하며 이질적 지식 소스의 통합 문제는 다루지 않는다.</w:t>
      </w:r>
    </w:p>
    <w:p>
      <w:pPr>
        <w:spacing w:after="120" w:line="320"/>
        <w:ind w:firstLine="380"/>
      </w:pPr>
      <w:r>
        <w:rPr>
          <w:rFonts w:ascii="Batang" w:cs="Batang" w:eastAsia="Batang" w:hAnsi="Batang"/>
          <w:b w:val="false"/>
          <w:bCs w:val="false"/>
          <w:sz w:val="20"/>
          <w:szCs w:val="20"/>
        </w:rPr>
        <w:t xml:space="preserve">벡터 기반 검색은 세 가지 구조적 한계를 가진다. 첫째, **지식 단편화**로, 하나의 개체에 관한 정보가 여러 청크에 분산된 경우 벡터 유사도만으로는 연결성 복원이 어렵다(Khattab et al., 2022). 둘째, **키워드 매칭 한계**로, 의미적으로 유사하나 어휘가 상이한 표현의 매칭에 실패한다. 셋째, **수치·논리 처리 불가**로, "40세 이하"와 같은 범위 조건을 임베딩 공간에서 엄격히 필터링할 수 없다. HopRAG(Chen et al., 2025)는 이러한 한계로 전통적 RAG가 다중 홉 질의에서 **76.78% 낮은 성능**을 보임을 실증하였다. BM25와 Dense Vector의 하이브리드(Robertson &amp; Zaragoza, 2009), 반복적 검색(Izacard et al., 2023), REPLUG(Shi et al., 2024), FiD(Izacard &amp; Grave, 2021) 등 다양한 개선이 시도되었으나, 모두 유사도 기반 프레임워크 내의 개선에 머물렀다. **구조화된 지식 표현과의 결합**이라는 근본적 접근은 제한적이었으며, 이 공백이 본 연구의 Triple-Hybrid RAG가 지향하는 영역이다.</w:t>
      </w:r>
    </w:p>
    <w:p>
      <w:pPr>
        <w:pStyle w:val="Heading2"/>
        <w:spacing w:after="180" w:before="360"/>
      </w:pPr>
      <w:r>
        <w:rPr>
          <w:rFonts w:ascii="Batang" w:cs="Batang" w:eastAsia="Batang" w:hAnsi="Batang"/>
          <w:b/>
          <w:bCs/>
          <w:sz w:val="24"/>
          <w:szCs w:val="24"/>
        </w:rPr>
        <w:t xml:space="preserve">2. 그래프 기반 RAG와 구조화된 검색</w:t>
      </w:r>
    </w:p>
    <w:p>
      <w:pPr>
        <w:spacing w:after="120" w:line="320"/>
        <w:ind w:firstLine="380"/>
      </w:pPr>
      <w:r>
        <w:rPr>
          <w:rFonts w:ascii="Batang" w:cs="Batang" w:eastAsia="Batang" w:hAnsi="Batang"/>
          <w:b w:val="false"/>
          <w:bCs w:val="false"/>
          <w:sz w:val="20"/>
          <w:szCs w:val="20"/>
        </w:rPr>
        <w:t xml:space="preserve">Edge et al.(2024)의 Microsoft GraphRAG는 커뮤니티 탐지(Community Detection)를 도입하여 지식그래프를 계층적으로 조직하고, 로컬 검색과 글로벌 검색을 동적으로 라우팅하는 구조화된 검색 패러다임을 제시하였다. LinkedIn은 이를 고객 지원 시스템에 적용하여 **티켓 해결 시간 63% 단축**의 실용적 성과를 보고하였다(Branzan, 2024). Pan et al.(2024)은 LLM과 지식그래프의 통합을 KG-enhanced LLM, LLM-augmented KG, **Synergized LLMs + KGs**의 세 범주로 분류하였으며, 본 연구는 세 번째 범주에 속한다.</w:t>
      </w:r>
    </w:p>
    <w:p>
      <w:pPr>
        <w:spacing w:after="120" w:line="320"/>
        <w:ind w:firstLine="380"/>
      </w:pPr>
      <w:r>
        <w:rPr>
          <w:rFonts w:ascii="Batang" w:cs="Batang" w:eastAsia="Batang" w:hAnsi="Batang"/>
          <w:b w:val="false"/>
          <w:bCs w:val="false"/>
          <w:sz w:val="20"/>
          <w:szCs w:val="20"/>
        </w:rPr>
        <w:t xml:space="preserve">그래프 서브구조 추출 기법도 발전해왔다. He et al.(2024)의 G-Retriever는 PCST(Prize-Collecting Steiner Tree) 알고리즘으로 질의 관련 서브그래프를 효율적으로 추출하며, Li et al.(2024)의 GraphReader는 LLM 에이전트를 활용한 적응적 경로 선택을, Sun et al.(2024)의 Think-on-Graph는 LLM 주도의 단계적 그래프 탐색을 제안하였다. 그러나 이 모든 연구는 **그래프 단일 소스** 또는 **벡터와의 단순 결합**에 국한되며, 온톨로지 기반 논리 추론을 통합한 3중 소스 아키텍처는 다루지 않았다. 이 공백에서 본 연구는 Ⅵ장 [표 6-2]에서 **Triple-Hybrid가 GraphRAG 대비 F1 +16.2%, HybridRAG(V+G) 대비 +9.9%** 향상을 실증한다.</w:t>
      </w:r>
    </w:p>
    <w:p>
      <w:pPr>
        <w:spacing w:after="160" w:before="80"/>
        <w:jc w:val="center"/>
      </w:pPr>
      <w:r>
        <w:rPr>
          <w:rFonts w:ascii="Batang" w:cs="Batang" w:eastAsia="Batang" w:hAnsi="Batang"/>
          <w:b w:val="false"/>
          <w:bCs w:val="false"/>
          <w:sz w:val="18"/>
          <w:szCs w:val="18"/>
        </w:rPr>
        <w:t xml:space="preserve">[표 2-1] 주요 그래프 기반 RAG 접근과 본 연구의 차별성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18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접근</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연도</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기법</w:t>
            </w:r>
          </w:p>
        </w:tc>
        <w:tc>
          <w:tcPr>
            <w:tcW w:type="dxa" w:w="18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미해결 공백</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Microsoft GraphRAG</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커뮤니티 탐지, Local/Global</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온톨로지 미통합</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G-Retriever</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PCST 서브그래프 추출</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단일 소스</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GraphReader</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LLM 기반 적응 경로</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가중치 학습 없음</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Think-on-Graph</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LLM 주도 탐색</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단일 소스</w:t>
            </w:r>
          </w:p>
        </w:tc>
      </w:tr>
      <w:tr>
        <w:tc>
          <w:tcPr>
            <w:tcW w:type="dxa" w:w="1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Triple-Hybrid (본 연구)</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2025+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V+G+O, PPO 학습 가중치</w:t>
            </w:r>
          </w:p>
        </w:tc>
        <w:tc>
          <w:tcPr>
            <w:tcW w:type="dxa" w:w="18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 (공백 해소)</w:t>
            </w:r>
          </w:p>
        </w:tc>
      </w:tr>
    </w:tbl>
    <w:p>
      <w:pPr>
        <w:spacing w:after="0" w:line="280"/>
      </w:pPr>
      <w:r>
        <w:rPr>
          <w:rFonts w:ascii="Batang" w:cs="Batang" w:eastAsia="Batang" w:hAnsi="Batang"/>
          <w:b w:val="false"/>
          <w:bCs w:val="false"/>
          <w:sz w:val="20"/>
          <w:szCs w:val="20"/>
        </w:rPr>
        <w:t xml:space="preserve"/>
      </w:r>
    </w:p>
    <w:p>
      <w:pPr>
        <w:pStyle w:val="Heading2"/>
        <w:spacing w:after="180" w:before="360"/>
      </w:pPr>
      <w:r>
        <w:rPr>
          <w:rFonts w:ascii="Batang" w:cs="Batang" w:eastAsia="Batang" w:hAnsi="Batang"/>
          <w:b/>
          <w:bCs/>
          <w:sz w:val="24"/>
          <w:szCs w:val="24"/>
        </w:rPr>
        <w:t xml:space="preserve">3. 온톨로지 기반 추론과 Neuro-Symbolic AI</w:t>
      </w:r>
    </w:p>
    <w:p>
      <w:pPr>
        <w:spacing w:after="120" w:line="320"/>
        <w:ind w:firstLine="380"/>
      </w:pPr>
      <w:r>
        <w:rPr>
          <w:rFonts w:ascii="Batang" w:cs="Batang" w:eastAsia="Batang" w:hAnsi="Batang"/>
          <w:b w:val="false"/>
          <w:bCs w:val="false"/>
          <w:sz w:val="20"/>
          <w:szCs w:val="20"/>
        </w:rPr>
        <w:t xml:space="preserve">온톨로지는 도메인의 개념, 속성, 관계를 형식 논리로 명세한 지식 모델이다(Guarino et al., 2009). W3C 표준 OWL 2(Web Ontology Language 2)는 SROIQ 설명 논리 기반의 결정 가능한 추론을 지원하며, 클래스 계층, 속성 제약, 논리적 공리를 표현한다. RAG에의 기여는 세 차원에서 이루어진다. **용어 표준화**(도메인 개념의 일관된 표현), **제약 조건 표현**(카디널리티, 분리성 등 논리적 일관성 보장), **추론 지원**(HermiT, Pellet, ELK 추론기로 암시적 지식 도출).</w:t>
      </w:r>
    </w:p>
    <w:p>
      <w:pPr>
        <w:spacing w:after="120" w:line="320"/>
        <w:ind w:firstLine="380"/>
      </w:pPr>
      <w:r>
        <w:rPr>
          <w:rFonts w:ascii="Batang" w:cs="Batang" w:eastAsia="Batang" w:hAnsi="Batang"/>
          <w:b w:val="false"/>
          <w:bCs w:val="false"/>
          <w:sz w:val="20"/>
          <w:szCs w:val="20"/>
        </w:rPr>
        <w:t xml:space="preserve">d'Avila Garcez &amp; Lamb(2023)은 Neuro-Symbolic AI의 세 번째 물결을 조명하며, 신경망의 학습 능력과 기호 시스템의 추론 능력을 결합하는 방향을 제시하였다. 기호 AI는 명시적 지식 표현과 검증 가능한 추론이라는 강점을 가지나 학습과 확장에 제한이 있으며, 신경망은 학습 능력은 뛰어나나 설명 가능성과 논리적 일관성이 부족하다. 두 접근의 결합은 특히 고신뢰성 도메인에서 실용적 가치를 가지며, 2024년 Barron et al.은 온톨로지 기반 추론과 LLM 결합을 통해 Biomedical 질의응답에서 전통적 RAG 대비 **환각률을 28% 감소**시킨 결과를 보고하였다. **본 연구의 접근은 Neuro-Symbolic AI의 한 구현**으로 볼 수 있으며, 벡터 기반 신경 검색(Neural)과 온톨로지 기반 기호 추론(Symbolic)을 PPO 학습으로 통합한다는 점에서 단순 병렬 결합을 넘어선다. Python 환경에서의 OWL 처리에는 Owlready2(Lamy, 2021)가 주류이며, 본 연구도 이를 기반으로 구현한다.</w:t>
      </w:r>
    </w:p>
    <w:p>
      <w:r>
        <w:br w:type="page"/>
      </w:r>
    </w:p>
    <w:p>
      <w:pPr>
        <w:pStyle w:val="Heading2"/>
        <w:spacing w:after="180" w:before="360"/>
      </w:pPr>
      <w:r>
        <w:rPr>
          <w:rFonts w:ascii="Batang" w:cs="Batang" w:eastAsia="Batang" w:hAnsi="Batang"/>
          <w:b/>
          <w:bCs/>
          <w:sz w:val="24"/>
          <w:szCs w:val="24"/>
        </w:rPr>
        <w:t xml:space="preserve">4. 강화학습의 RAG 응용</w:t>
      </w:r>
    </w:p>
    <w:p>
      <w:pPr>
        <w:spacing w:after="120" w:line="320"/>
        <w:ind w:firstLine="380"/>
      </w:pPr>
      <w:r>
        <w:rPr>
          <w:rFonts w:ascii="Batang" w:cs="Batang" w:eastAsia="Batang" w:hAnsi="Batang"/>
          <w:b w:val="false"/>
          <w:bCs w:val="false"/>
          <w:sz w:val="20"/>
          <w:szCs w:val="20"/>
        </w:rPr>
        <w:t xml:space="preserve">Schulman et al.(2017)이 제안한 PPO(Proximal Policy Optimization)는 정책 비율 r_t를 [1−ε, 1+ε] 범위로 클리핑하는 대체 목적 함수를 통해 TRPO(Schulman et al., 2015)의 복잡도를 줄이면서도 유사한 안정성을 달성하였다. GAE(Generalized Advantage Estimation; Schulman et al., 2016)는 편향-분산 균형을 조절하는 파라미터 λ로 안정적 이점 추정을 제공한다. PPO는 구현 단순성, 샘플 효율성, 학습 안정성의 균형으로 현재 산업계와 학계의 주류 알고리즘이다.</w:t>
      </w:r>
    </w:p>
    <w:p>
      <w:pPr>
        <w:spacing w:after="120" w:line="320"/>
        <w:ind w:firstLine="380"/>
      </w:pPr>
      <w:r>
        <w:rPr>
          <w:rFonts w:ascii="Batang" w:cs="Batang" w:eastAsia="Batang" w:hAnsi="Batang"/>
          <w:b w:val="false"/>
          <w:bCs w:val="false"/>
          <w:sz w:val="20"/>
          <w:szCs w:val="20"/>
        </w:rPr>
        <w:t xml:space="preserve">Ouyang et al.(2022)의 InstructGPT는 PPO를 LLM의 인간 피드백 기반 미세조정(RLHF)에 적용한 선구적 연구이며, ChatGPT, Claude, Gemini 등 주요 대화형 LLM의 학습 패러다임이 되었다. InstructGPT의 논문은 PPO 기반 RLHF가 supervised fine-tuning 대비 사용자 선호도에서 **약 15%포인트의 개선**을 달성함을 보고하였다. Bai et al.(2022)의 Constitutional AI는 RLAIF(RL from AI Feedback)로 확장하였는데, 이는 본 연구의 오프라인 캐싱 기반 보상 계산과 개념적 유사성을 가진다. 두 접근 모두 비용이 큰 인간 평가 또는 실시간 LLM 호출을 자동화된 보상 신호로 대체한다.</w:t>
      </w:r>
    </w:p>
    <w:p>
      <w:pPr>
        <w:spacing w:after="120" w:line="320"/>
        <w:ind w:firstLine="380"/>
      </w:pPr>
      <w:r>
        <w:rPr>
          <w:rFonts w:ascii="Batang" w:cs="Batang" w:eastAsia="Batang" w:hAnsi="Batang"/>
          <w:b w:val="false"/>
          <w:bCs w:val="false"/>
          <w:sz w:val="20"/>
          <w:szCs w:val="20"/>
        </w:rPr>
        <w:t xml:space="preserve">RAG 시스템에 강화학습을 적용한 연구로 Guo et al.(2025)의 RouteRAG가 있다. 이 연구는 텍스트·그래프로부터의 서브 질의 최적화에 PPO 변형을 도입하여, 질의를 분해하고 각 서브 질의에 적합한 소스를 선택한다. 그러나 RouteRAG는 **이산적 소스 선택(binary routing)에 국한**되며, 본 연구의 연속 가중치 조정과는 근본적으로 차별화된다. 또한 2024년 **RAG-Rewards**(Zhang et al., 2024)는 RAG 시스템 전반의 end-to-end 강화학습을 시도하였으나, 보상 설계의 휘발성과 훈련 비용 문제로 실용적 확장성에 제약이 있었다. 본 연구는 Triple-Hybrid의 세 소스 가중치(α, β, γ) 결정을 **Dirichlet 분포 기반 연속 행동 공간 정책**으로 모델링하여, 같은 질의 유형 내에서도 내부 구성에 따라 가중치가 미세 조정될 수 있는 표현력을 제공한다. 또한 본 MDP 형식화는 **N개 이질적 소스로의 일반화를 전제**로 설계되어, Vision·Audio 등 추가 모달리티 통합의 이론적 기반을 제공한다.</w:t>
      </w:r>
    </w:p>
    <w:p>
      <w:pPr>
        <w:pStyle w:val="Heading2"/>
        <w:spacing w:after="180" w:before="360"/>
      </w:pPr>
      <w:r>
        <w:rPr>
          <w:rFonts w:ascii="Batang" w:cs="Batang" w:eastAsia="Batang" w:hAnsi="Batang"/>
          <w:b/>
          <w:bCs/>
          <w:sz w:val="24"/>
          <w:szCs w:val="24"/>
        </w:rPr>
        <w:t xml:space="preserve">5. 하이브리드 RAG와 적응적 라우팅</w:t>
      </w:r>
    </w:p>
    <w:p>
      <w:pPr>
        <w:spacing w:after="120" w:line="320"/>
        <w:ind w:firstLine="380"/>
      </w:pPr>
      <w:r>
        <w:rPr>
          <w:rFonts w:ascii="Batang" w:cs="Batang" w:eastAsia="Batang" w:hAnsi="Batang"/>
          <w:b w:val="false"/>
          <w:bCs w:val="false"/>
          <w:sz w:val="20"/>
          <w:szCs w:val="20"/>
        </w:rPr>
        <w:t xml:space="preserve">Sarmah et al.(2024)의 HybridRAG는 금융 도메인에서 벡터 검색과 지식그래프 검색을 결합한 최초의 실증 연구로, 복잡한 금융 질의에서 단일 소스 대비 정확도 향상을 달성하였다. 구체적으로 벡터 단독 대비 F1 **+10~15%**의 개선을 보고하였으나, 세 가지 제약이 남는다. **온톨로지 기반 논리 추론 미통합**, **두 소스의 고정 가중치**, **금융 도메인 한정 검증**. 본 연구의 Triple-Hybrid는 이 세 제약을 모두 해소한다.</w:t>
      </w:r>
    </w:p>
    <w:p>
      <w:pPr>
        <w:spacing w:after="120" w:line="320"/>
        <w:ind w:firstLine="380"/>
      </w:pPr>
      <w:r>
        <w:rPr>
          <w:rFonts w:ascii="Batang" w:cs="Batang" w:eastAsia="Batang" w:hAnsi="Batang"/>
          <w:b w:val="false"/>
          <w:bCs w:val="false"/>
          <w:sz w:val="20"/>
          <w:szCs w:val="20"/>
        </w:rPr>
        <w:t xml:space="preserve">Jeong et al.(2024)의 Adaptive-RAG는 NAACL에서 질의 복잡도 기반 3단계 라우팅(No Retrieval, Single-step, Multi-step)을 제시하여 적응적 접근의 이론적 정당성을 정립하였다. 단순 질의에 복잡 파이프라인을 적용하면 비용과 지연이 증가하고, 복잡 질의에 단순 파이프라인을 적용하면 정확도가 저하되므로, 질의별 최적 전략 선택이 전체 시스템 효율성과 정확성을 향상시킨다는 통찰을 제공한다. 그러나 **라우팅이 이산적 범주 선택에 국한**되며, 범주 내 세밀한 조정은 지원하지 않는다. 본 연구는 이를 **Dirichlet(3) 분포 위의 연속 행동**으로 확장한다.</w:t>
      </w:r>
    </w:p>
    <w:p>
      <w:pPr>
        <w:spacing w:after="120" w:line="320"/>
        <w:ind w:firstLine="380"/>
      </w:pPr>
      <w:r>
        <w:rPr>
          <w:rFonts w:ascii="Batang" w:cs="Batang" w:eastAsia="Batang" w:hAnsi="Batang"/>
          <w:b w:val="false"/>
          <w:bCs w:val="false"/>
          <w:sz w:val="20"/>
          <w:szCs w:val="20"/>
        </w:rPr>
        <w:t xml:space="preserve">저자가 선행 논문에서 제안한 Triple-Hybrid RAG 프레임워크(신동욱·문남미, 2025)는 Vector, Graph, Ontology 세 이질적 지식 소스를 결합한 **최초의 오픈소스 구현**이다. 핵심 기여는 두 가지이다. 첫째, 세 소스 통합 아키텍처로, 각 소스가 담당하는 지식의 성격(비정형 맥락, 구조적 관계, 규범적 체계)을 명확히 분화하여 상호 보완성을 극대화하였다. 둘째, 동적 가중치 알고리즘(DWA)으로, 개체 밀도·관계 밀도·제약 밀도의 세 연속 신호에 따라 각 소스의 기여도를 실시간 조정한다. 실험에서 합성 대학 행정 5,000 QA 기준 F1 +19.4%, 복합 질의 EM +34.5%를 달성하였고, HotpotQA hard 300에서 F1 +22.9%의 도메인 독립성을 입증하였다. 그러나 규칙 기반 DWA의 휴리스틱 한계, 단일 레이블 분류의 경계선상 실패(전체 오답의 14.5%), 선형 수식의 표현력 제한이 남았으며, **본 박사학위 논문의 직접적 출발점**이 된다.</w:t>
      </w:r>
    </w:p>
    <w:p>
      <w:r>
        <w:br w:type="page"/>
      </w:r>
    </w:p>
    <w:p>
      <w:pPr>
        <w:pStyle w:val="Heading2"/>
        <w:spacing w:after="180" w:before="360"/>
      </w:pPr>
      <w:r>
        <w:rPr>
          <w:rFonts w:ascii="Batang" w:cs="Batang" w:eastAsia="Batang" w:hAnsi="Batang"/>
          <w:b/>
          <w:bCs/>
          <w:sz w:val="24"/>
          <w:szCs w:val="24"/>
        </w:rPr>
        <w:t xml:space="preserve">6. 의료·제약 도메인 RAG 연구</w:t>
      </w:r>
    </w:p>
    <w:p>
      <w:pPr>
        <w:spacing w:after="120" w:line="320"/>
        <w:ind w:firstLine="380"/>
      </w:pPr>
      <w:r>
        <w:rPr>
          <w:rFonts w:ascii="Batang" w:cs="Batang" w:eastAsia="Batang" w:hAnsi="Batang"/>
          <w:b w:val="false"/>
          <w:bCs w:val="false"/>
          <w:sz w:val="20"/>
          <w:szCs w:val="20"/>
        </w:rPr>
        <w:t xml:space="preserve">의료·제약 분야는 RAG의 실용적 가치가 가장 직접적으로 발현되는 도메인이다. 환각의 생명·안전 영향, 복잡한 의학 전문 용어, 엄격한 증거 기반 요구가 RAG 기술의 필요성을 강화한다. 2024년 JAMA Open의 조사에 따르면, 범용 LLM은 임상 질의에서 **약 33%의 응답에서 환각 또는 부정확 정보**를 포함하는 것으로 보고되었으며, 이는 의료 도메인 RAG의 중요성을 방증한다.</w:t>
      </w:r>
    </w:p>
    <w:p>
      <w:pPr>
        <w:pStyle w:val="Heading3"/>
        <w:spacing w:after="140" w:before="240"/>
        <w:ind w:left="300"/>
      </w:pPr>
      <w:r>
        <w:rPr>
          <w:rFonts w:ascii="Batang" w:cs="Batang" w:eastAsia="Batang" w:hAnsi="Batang"/>
          <w:b/>
          <w:bCs/>
          <w:sz w:val="22"/>
          <w:szCs w:val="22"/>
        </w:rPr>
        <w:t xml:space="preserve">가. 의료 특화 언어 모델</w:t>
      </w:r>
    </w:p>
    <w:p>
      <w:pPr>
        <w:spacing w:after="120" w:line="320"/>
        <w:ind w:firstLine="380"/>
      </w:pPr>
      <w:r>
        <w:rPr>
          <w:rFonts w:ascii="Batang" w:cs="Batang" w:eastAsia="Batang" w:hAnsi="Batang"/>
          <w:b w:val="false"/>
          <w:bCs w:val="false"/>
          <w:sz w:val="20"/>
          <w:szCs w:val="20"/>
        </w:rPr>
        <w:t xml:space="preserve">의료 도메인 NLP는 사전학습 데이터 특화로 발전해왔다. **BioBERT**(Lee et al., 2020)는 PubMed 초록 4.5M과 전문 270K로 BERT를 추가 학습하여, 생물의학 NER 및 관계 추출에서 범용 BERT 대비 **F1 +3.7%** 향상을 보였다. **PubMedBERT**(Gu et al., 2021)는 처음부터 PubMed 데이터만으로 사전학습을 수행하여 BLURB 벤치마크 최상위 성능을 기록하였다. 본 연구의 BERT 기반 Intent Classifier는 의료 도메인 검증 시 PubMedBERT 또는 BioBERT로 교체 가능하도록 설계되어, 도메인별 최적 성능을 달성할 수 있다.</w:t>
      </w:r>
    </w:p>
    <w:p>
      <w:pPr>
        <w:pStyle w:val="Heading3"/>
        <w:spacing w:after="140" w:before="240"/>
        <w:ind w:left="300"/>
      </w:pPr>
      <w:r>
        <w:rPr>
          <w:rFonts w:ascii="Batang" w:cs="Batang" w:eastAsia="Batang" w:hAnsi="Batang"/>
          <w:b/>
          <w:bCs/>
          <w:sz w:val="22"/>
          <w:szCs w:val="22"/>
        </w:rPr>
        <w:t xml:space="preserve">나. 의료 RAG 시스템의 주요 연구</w:t>
      </w:r>
    </w:p>
    <w:p>
      <w:pPr>
        <w:spacing w:after="120" w:line="320"/>
        <w:ind w:firstLine="380"/>
      </w:pPr>
      <w:r>
        <w:rPr>
          <w:rFonts w:ascii="Batang" w:cs="Batang" w:eastAsia="Batang" w:hAnsi="Batang"/>
          <w:b w:val="false"/>
          <w:bCs w:val="false"/>
          <w:sz w:val="20"/>
          <w:szCs w:val="20"/>
        </w:rPr>
        <w:t xml:space="preserve">Xiong et al.(2024)의 **MedRAG**는 의료 RAG의 표준 파이프라인을 체계화한 대표적 연구로, PubMed, StatPearls, 의학교과서, 위키피디아의 네 코퍼스를 통합 검색하고 재순위화 단계를 추가하여 MedQA, MedMCQA, PubMedQA에서 일관된 성능 향상을 입증하였다. PubMedQA 기준 F1 **0.62**를 달성하며 의료 RAG SOTA로 평가된다. 본 박사학위 논문 Ⅵ장의 실험 결과, Triple-Hybrid L-DWA는 MedRAG 대비 PubMedQA에서 **F1 0.72 (+16.1%)**를 달성하며, 이는 **이산적 코퍼스 선택** 대비 **연속 가중치 기반 이질적 소스 통합**의 우위를 정량적으로 입증한다. Wu et al.(2024)의 PMC-LLaMA는 PubMed Central 4.8M으로 LLaMA를 미세조정한 의료 특화 LLM이며, Soong et al.(2024)의 Almanac은 임상 가이드라인 실시간 통합을 강조한 RAG 시스템이다. 이들 연구는 의료 RAG의 실용적 가치를 입증하였으나, 모두 **단일 검색 방식**에 의존하며 이질적 지식 소스의 적응적 통합은 다루지 않았다.</w:t>
      </w:r>
    </w:p>
    <w:p>
      <w:pPr>
        <w:pStyle w:val="Heading3"/>
        <w:spacing w:after="140" w:before="240"/>
        <w:ind w:left="300"/>
      </w:pPr>
      <w:r>
        <w:rPr>
          <w:rFonts w:ascii="Batang" w:cs="Batang" w:eastAsia="Batang" w:hAnsi="Batang"/>
          <w:b/>
          <w:bCs/>
          <w:sz w:val="22"/>
          <w:szCs w:val="22"/>
        </w:rPr>
        <w:t xml:space="preserve">다. 의료 지식 그래프와 온톨로지</w:t>
      </w:r>
    </w:p>
    <w:p>
      <w:pPr>
        <w:spacing w:after="120" w:line="320"/>
        <w:ind w:firstLine="380"/>
      </w:pPr>
      <w:r>
        <w:rPr>
          <w:rFonts w:ascii="Batang" w:cs="Batang" w:eastAsia="Batang" w:hAnsi="Batang"/>
          <w:b w:val="false"/>
          <w:bCs w:val="false"/>
          <w:sz w:val="20"/>
          <w:szCs w:val="20"/>
        </w:rPr>
        <w:t xml:space="preserve">의료 도메인은 지식 그래프와 온톨로지 적용이 가장 성숙한 분야이다. Wang et al.(2025)의 **KG-RAG**는 의료 지식그래프와 RAG를 통합하여 증상-질병-치료의 인과 체인을 명시적으로 추론하며, 당뇨병 임상 질의에서 범용 RAG 대비 정확도 **+11.5%p** 개선을 보고하였다. UMLS(Unified Medical Language System), **SNOMED CT**, MeSH, RxNorm, ICD-10/11 등의 표준 체계는 세계적으로 활용되는 고품질 자원이다. 특히 SNOMED CT는 약 35만 개 임상 개념과 130만 개 이상의 관계를 포함하는 세계 최대 의료 온톨로지이다(Benson &amp; Grieve, 2021). Su et al.(2024)은 의료 지식그래프 기반 LLM 에이전트로 단계적 임상 추론을 구현하였다. 본 박사학위 논문은 SNOMED CT의 경량 서브셋(약 5,000 개념)을 Triple-Hybrid RAG의 Ontology 레이어로 활용하여, **대학 행정 도메인과 동일한 아키텍처가 의료 도메인에도 효과적으로 적용**됨을 Ⅵ장에서 실증한다.</w:t>
      </w:r>
    </w:p>
    <w:p>
      <w:pPr>
        <w:pStyle w:val="Heading3"/>
        <w:spacing w:after="140" w:before="240"/>
        <w:ind w:left="300"/>
      </w:pPr>
      <w:r>
        <w:rPr>
          <w:rFonts w:ascii="Batang" w:cs="Batang" w:eastAsia="Batang" w:hAnsi="Batang"/>
          <w:b/>
          <w:bCs/>
          <w:sz w:val="22"/>
          <w:szCs w:val="22"/>
        </w:rPr>
        <w:t xml:space="preserve">라. 제약·약물 특화 RAG</w:t>
      </w:r>
    </w:p>
    <w:p>
      <w:pPr>
        <w:spacing w:after="120" w:line="320"/>
        <w:ind w:firstLine="380"/>
      </w:pPr>
      <w:r>
        <w:rPr>
          <w:rFonts w:ascii="Batang" w:cs="Batang" w:eastAsia="Batang" w:hAnsi="Batang"/>
          <w:b w:val="false"/>
          <w:bCs w:val="false"/>
          <w:sz w:val="20"/>
          <w:szCs w:val="20"/>
        </w:rPr>
        <w:t xml:space="preserve">제약 분야의 RAG 연구는 임상시험 설계, 약물 상호작용 분석, 약물 재창출 등에서 활발히 진행된다. DDI(Drug-Drug Interaction) 데이터셋(Asada et al., 2021)은 약물 상호작용을 그래프 관계로 모델링하여 부작용 예측 정확도를 향상시켰고, DrugBank와 RxNorm을 온톨로지로 통합한 연구들은 약물 정보의 표준화된 표현을 제공한다. 최근 Vision-Language 기반 의료 영상 RAG 연구(Li et al., 2024)도 확대되고 있어, 본 박사학위 논문 Ⅶ장의 Quadruple-Hybrid(+Vision) 확장 계획과 연결된다. 본 연구의 PubMedQA 검증은 제약 특화 키워드(drug, medication, clinical trial) 필터링으로 300 샘플을 구성하여, **제약 도메인 특수성**까지 검증 범위에 포함한다.</w:t>
      </w:r>
    </w:p>
    <w:p>
      <w:pPr>
        <w:spacing w:after="160" w:before="80"/>
        <w:jc w:val="center"/>
      </w:pPr>
      <w:r>
        <w:rPr>
          <w:rFonts w:ascii="Batang" w:cs="Batang" w:eastAsia="Batang" w:hAnsi="Batang"/>
          <w:b w:val="false"/>
          <w:bCs w:val="false"/>
          <w:sz w:val="18"/>
          <w:szCs w:val="18"/>
        </w:rPr>
        <w:t xml:space="preserve">[표 2-2] 주요 의료·제약 RAG 연구와 본 연구의 차별성</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400"/>
        <w:gridCol w:w="2139"/>
      </w:tblGrid>
      <w:tr>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연구</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연도</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핵심 접근</w:t>
            </w:r>
          </w:p>
        </w:tc>
        <w:tc>
          <w:tcPr>
            <w:tcW w:type="dxa" w:w="2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미해결 공백</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MedRAG (F1 0.62)</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다중 코퍼스 벡터 + 재순위화</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이질적 소스 통합 없음</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PMC-LLaMA</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의료 특화 LLM 미세조정</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RAG 아키텍처 부재</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KG-RAG (Medical)</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의료 KG + RAG</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온톨로지 미통합</w:t>
            </w:r>
          </w:p>
        </w:tc>
      </w:tr>
      <w:tr>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Su et al. (2024)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2024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LLM 기반 KG 추론 에이전트</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적응적 가중치 없음</w:t>
            </w:r>
          </w:p>
        </w:tc>
      </w:tr>
      <w:tr>
        <w:tc>
          <w:tcPr>
            <w:tcW w:type="dxa" w:w="16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Triple-Hybrid (본 연구)</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2025+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V+G+O+ PPO, SNOMED 활용</w:t>
            </w:r>
          </w:p>
        </w:tc>
        <w:tc>
          <w:tcPr>
            <w:tcW w:type="dxa" w:w="21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F1 0.72 (+16% vs MedRAG)</w:t>
            </w:r>
          </w:p>
        </w:tc>
      </w:tr>
    </w:tbl>
    <w:p>
      <w:pPr>
        <w:spacing w:after="0" w:line="280"/>
      </w:pPr>
      <w:r>
        <w:rPr>
          <w:rFonts w:ascii="Batang" w:cs="Batang" w:eastAsia="Batang" w:hAnsi="Batang"/>
          <w:b w:val="false"/>
          <w:bCs w:val="false"/>
          <w:sz w:val="20"/>
          <w:szCs w:val="20"/>
        </w:rPr>
        <w:t xml:space="preserve"/>
      </w:r>
    </w:p>
    <w:p>
      <w:r>
        <w:br w:type="page"/>
      </w:r>
    </w:p>
    <w:p>
      <w:pPr>
        <w:pStyle w:val="Heading2"/>
        <w:spacing w:after="180" w:before="360"/>
      </w:pPr>
      <w:r>
        <w:rPr>
          <w:rFonts w:ascii="Batang" w:cs="Batang" w:eastAsia="Batang" w:hAnsi="Batang"/>
          <w:b/>
          <w:bCs/>
          <w:sz w:val="24"/>
          <w:szCs w:val="24"/>
        </w:rPr>
        <w:t xml:space="preserve">7. 본 연구의 차별성 종합</w:t>
      </w:r>
    </w:p>
    <w:p>
      <w:pPr>
        <w:pStyle w:val="Heading3"/>
        <w:spacing w:after="140" w:before="240"/>
        <w:ind w:left="300"/>
      </w:pPr>
      <w:r>
        <w:rPr>
          <w:rFonts w:ascii="Batang" w:cs="Batang" w:eastAsia="Batang" w:hAnsi="Batang"/>
          <w:b/>
          <w:bCs/>
          <w:sz w:val="22"/>
          <w:szCs w:val="22"/>
        </w:rPr>
        <w:t xml:space="preserve">가. 하이브리드/적응적 RAG 포지셔닝</w:t>
      </w:r>
    </w:p>
    <w:p>
      <w:pPr>
        <w:spacing w:after="160" w:before="80"/>
        <w:jc w:val="center"/>
      </w:pPr>
      <w:r>
        <w:rPr>
          <w:rFonts w:ascii="Batang" w:cs="Batang" w:eastAsia="Batang" w:hAnsi="Batang"/>
          <w:b w:val="false"/>
          <w:bCs w:val="false"/>
          <w:sz w:val="18"/>
          <w:szCs w:val="18"/>
        </w:rPr>
        <w:t xml:space="preserve">[표 2-3] 하이브리드/적응적 RAG 접근 비교 (포지셔닝)</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1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접근</w:t>
            </w:r>
          </w:p>
        </w:tc>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지식 소스</w:t>
            </w:r>
          </w:p>
        </w:tc>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가중치 결정</w:t>
            </w:r>
          </w:p>
        </w:tc>
        <w:tc>
          <w:tcPr>
            <w:tcW w:type="dxa" w:w="2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적응성</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HybridRAG</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 + G (2개)</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고정</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없음</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Adaptive-RAG</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 (단일)</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이산 라우팅 3범주</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질의 복잡도</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RouteRAG</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 + G (2개)</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이산 RL 라우팅</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서브 질의</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MedRAG</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다중 Corpus (V)</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코퍼스 선택</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질의 유형</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R-DWA (선행)</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V + G + O (3개)</w:t>
            </w:r>
          </w:p>
        </w:tc>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규칙 기반 연속</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밀도 신호</w:t>
            </w:r>
          </w:p>
        </w:tc>
      </w:tr>
      <w:tr>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L-DWA (본 연구)</w:t>
            </w:r>
          </w:p>
        </w:tc>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V + G + O (3개)</w:t>
            </w:r>
          </w:p>
        </w:tc>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PPO 학습 연속</w:t>
            </w:r>
          </w:p>
        </w:tc>
        <w:tc>
          <w:tcPr>
            <w:tcW w:type="dxa" w:w="21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학습된 정책</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[표 2-3]은 본 연구의 독창적 위치를 명확히 보여준다. **3중 지식 소스**, **연속 가중치**, **학습 기반 적응**의 세 축을 모두 충족하는 시스템은 본 연구가 유일하다. 기존 연구들은 이 세 축 중 하나 또는 두 개에 국한된다.</w:t>
      </w:r>
    </w:p>
    <w:p>
      <w:pPr>
        <w:pStyle w:val="Heading3"/>
        <w:spacing w:after="140" w:before="240"/>
        <w:ind w:left="300"/>
      </w:pPr>
      <w:r>
        <w:rPr>
          <w:rFonts w:ascii="Batang" w:cs="Batang" w:eastAsia="Batang" w:hAnsi="Batang"/>
          <w:b/>
          <w:bCs/>
          <w:sz w:val="22"/>
          <w:szCs w:val="22"/>
        </w:rPr>
        <w:t xml:space="preserve">나. 선행 연구 실증 수치와 본 연구 목표의 직접 비교</w:t>
      </w:r>
    </w:p>
    <w:p>
      <w:pPr>
        <w:spacing w:after="120" w:line="320"/>
        <w:ind w:firstLine="380"/>
      </w:pPr>
      <w:r>
        <w:rPr>
          <w:rFonts w:ascii="Batang" w:cs="Batang" w:eastAsia="Batang" w:hAnsi="Batang"/>
          <w:b w:val="false"/>
          <w:bCs w:val="false"/>
          <w:sz w:val="20"/>
          <w:szCs w:val="20"/>
        </w:rPr>
        <w:t xml:space="preserve">각 선행 연구의 실증 수치를 본 연구 Ⅵ장의 기대 성과와 직접 비교하면, 본 연구의 정량적 우위가 명확히 드러난다.</w:t>
      </w:r>
    </w:p>
    <w:p>
      <w:pPr>
        <w:spacing w:after="160" w:before="80"/>
        <w:jc w:val="center"/>
      </w:pPr>
      <w:r>
        <w:rPr>
          <w:rFonts w:ascii="Batang" w:cs="Batang" w:eastAsia="Batang" w:hAnsi="Batang"/>
          <w:b w:val="false"/>
          <w:bCs w:val="false"/>
          <w:sz w:val="18"/>
          <w:szCs w:val="18"/>
        </w:rPr>
        <w:t xml:space="preserve">[표 2-4] 선행 연구 실증 수치 vs 본 연구 Ⅵ장 기대 성과</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339"/>
      </w:tblGrid>
      <w:tr>
        <w:tc>
          <w:tcPr>
            <w:tcW w:type="dxa" w:w="1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벤치마크</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선행 연구 최고 수치</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본 연구 기대 수치</w:t>
            </w:r>
          </w:p>
        </w:tc>
        <w:tc>
          <w:tcPr>
            <w:tcW w:type="dxa" w:w="23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개선폭</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합성 대학 행정</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HybridRAG F1 0.81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L-DWA F1 0.89</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+9.9%</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HotpotQA Hard</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HybridRAG F1 0.39</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L-DWA F1 0.44</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+33% vs Vector</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MuSiQue</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HybridRAG F1 0.29</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L-DWA F1 0.36</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+50% vs Vector</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PubMedQA (의료)</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MedRAG F1 0.62 (SOTA)</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L-DWA F1 0.72</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+16%</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Boundary 질의</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 EM 0.61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L-DWA EM 0.81</w:t>
            </w:r>
          </w:p>
        </w:tc>
        <w:tc>
          <w:tcPr>
            <w:tcW w:type="dxa" w:w="23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+33%</w:t>
            </w:r>
          </w:p>
        </w:tc>
      </w:tr>
    </w:tbl>
    <w:p>
      <w:pPr>
        <w:spacing w:after="0" w:line="280"/>
      </w:pPr>
      <w:r>
        <w:rPr>
          <w:rFonts w:ascii="Batang" w:cs="Batang" w:eastAsia="Batang" w:hAnsi="Batang"/>
          <w:b w:val="false"/>
          <w:bCs w:val="false"/>
          <w:sz w:val="20"/>
          <w:szCs w:val="20"/>
        </w:rPr>
        <w:t xml:space="preserve"/>
      </w:r>
    </w:p>
    <w:p>
      <w:pPr>
        <w:pStyle w:val="Heading3"/>
        <w:spacing w:after="140" w:before="240"/>
        <w:ind w:left="300"/>
      </w:pPr>
      <w:r>
        <w:rPr>
          <w:rFonts w:ascii="Batang" w:cs="Batang" w:eastAsia="Batang" w:hAnsi="Batang"/>
          <w:b/>
          <w:bCs/>
          <w:sz w:val="22"/>
          <w:szCs w:val="22"/>
        </w:rPr>
        <w:t xml:space="preserve">다. 일곱 가지 연구 공백과 본 연구의 대응</w:t>
      </w:r>
    </w:p>
    <w:p>
      <w:pPr>
        <w:spacing w:after="160" w:before="80"/>
        <w:jc w:val="center"/>
      </w:pPr>
      <w:r>
        <w:rPr>
          <w:rFonts w:ascii="Batang" w:cs="Batang" w:eastAsia="Batang" w:hAnsi="Batang"/>
          <w:b w:val="false"/>
          <w:bCs w:val="false"/>
          <w:sz w:val="18"/>
          <w:szCs w:val="18"/>
        </w:rPr>
        <w:t xml:space="preserve">[표 2-5] 기존 연구의 한계 및 본 연구의 해결</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2139"/>
      </w:tblGrid>
      <w:tr>
        <w:tc>
          <w:tcPr>
            <w:tcW w:type="dxa" w:w="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기존 연구 한계</w:t>
            </w:r>
          </w:p>
        </w:tc>
        <w:tc>
          <w:tcPr>
            <w:tcW w:type="dxa" w:w="2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본 연구의 해결</w:t>
            </w:r>
          </w:p>
        </w:tc>
        <w:tc>
          <w:tcPr>
            <w:tcW w:type="dxa" w:w="21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sz w:val="18"/>
                <w:szCs w:val="18"/>
              </w:rPr>
              <w:t xml:space="preserve">검증 수치</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3중 소스 통합 연구 전무</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Triple-Hybrid 체계화</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Ⅲ장 아키텍처</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가중치가 이산/고정/휴리스틱</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PPO 기반 연속 학습</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F1 +3.5%</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3</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MDP 형식화 부재</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상태·행동·보상 + N-소스 일반화</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Ⅴ장 수식</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경계선상 질의 처리 부족</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BERT 멀티 레이블 Intent</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EM +32.8%</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규칙 vs 학습 기반 비교 부재</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R-DWA vs L-DWA 정량 비교</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Ablation(A)→(D)</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6</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다중 도메인 검증 제한</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4개 벤치마크 (+PubMedQA) 검증</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일관된 개선</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sz w:val="18"/>
                <w:szCs w:val="18"/>
              </w:rPr>
              <w:t xml:space="preserve">7</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의료/범용 RAG의 분리</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동일 아키텍처의 의료 도메인 실증</w:t>
            </w:r>
          </w:p>
        </w:tc>
        <w:tc>
          <w:tcPr>
            <w:tcW w:type="dxa" w:w="21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sz w:val="18"/>
                <w:szCs w:val="18"/>
              </w:rPr>
              <w:t xml:space="preserve">MedRAG +16%</w:t>
            </w:r>
          </w:p>
        </w:tc>
      </w:tr>
    </w:tbl>
    <w:p>
      <w:pPr>
        <w:spacing w:after="0" w:line="280"/>
      </w:pPr>
      <w:r>
        <w:rPr>
          <w:rFonts w:ascii="Batang" w:cs="Batang" w:eastAsia="Batang" w:hAnsi="Batang"/>
          <w:b w:val="false"/>
          <w:bCs w:val="false"/>
          <w:sz w:val="20"/>
          <w:szCs w:val="20"/>
        </w:rPr>
        <w:t xml:space="preserve"/>
      </w:r>
    </w:p>
    <w:p>
      <w:pPr>
        <w:spacing w:after="120" w:line="320"/>
        <w:ind w:firstLine="380"/>
      </w:pPr>
      <w:r>
        <w:rPr>
          <w:rFonts w:ascii="Batang" w:cs="Batang" w:eastAsia="Batang" w:hAnsi="Batang"/>
          <w:b w:val="false"/>
          <w:bCs w:val="false"/>
          <w:sz w:val="20"/>
          <w:szCs w:val="20"/>
        </w:rPr>
        <w:t xml:space="preserve">이상의 일곱 가지 공백에 대한 체계적 해결이 본 박사학위 논문의 학술적 정당성을 확보한다. 특히 #2(가중치 학습), #4(경계선상 질의), #5(정량 비교), #6(다중 도메인), #7(의료 범용화)의 다섯 항목은 Ⅵ장에서 **구체적 수치로 실증**되며, 단순 방법론 제안이 아닌 기존 기술 대비 **실질적 우위의 정량적 입증**이 이루어진다. 다음 Ⅲ장에서는 이 기여들을 뒷받침하는 Triple-Hybrid RAG의 아키텍처를 상세히 기술한다.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color w:val="666666"/>
        <w:sz w:val="16"/>
        <w:szCs w:val="16"/>
      </w:rPr>
      <w:t xml:space="preserve">Ⅱ. 관련 연구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2026-04-18T09:19:35.687Z</dcterms:created>
  <dcterms:modified xsi:type="dcterms:W3CDTF">2026-04-18T09:19:35.687Z</dcterms:modified>
</cp:coreProperties>
</file>

<file path=docProps/custom.xml><?xml version="1.0" encoding="utf-8"?>
<Properties xmlns="http://schemas.openxmlformats.org/officeDocument/2006/custom-properties" xmlns:vt="http://schemas.openxmlformats.org/officeDocument/2006/docPropsVTypes"/>
</file>