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80" w:before="560"/>
      </w:pPr>
      <w:r>
        <w:rPr>
          <w:rFonts w:ascii="Batang" w:cs="Batang" w:eastAsia="Batang" w:hAnsi="Batang"/>
          <w:b/>
          <w:bCs/>
          <w:i w:val="false"/>
          <w:iCs w:val="false"/>
          <w:sz w:val="28"/>
          <w:szCs w:val="28"/>
        </w:rPr>
        <w:t xml:space="preserve">Ⅵ. 실험 및 평가 (v3 확장 추가 섹션)</w:t>
      </w:r>
    </w:p>
    <w:p>
      <w:pPr>
        <w:spacing w:after="0" w:line="280"/>
      </w:pPr>
      <w:r>
        <w:rPr>
          <w:rFonts w:ascii="Batang" w:cs="Batang" w:eastAsia="Batang" w:hAnsi="Batang"/>
          <w:b w:val="false"/>
          <w:bCs w:val="false"/>
          <w:i w:val="false"/>
          <w:iCs w:val="false"/>
          <w:sz w:val="20"/>
          <w:szCs w:val="20"/>
        </w:rPr>
        <w:t xml:space="preserve"/>
      </w:r>
    </w:p>
    <w:p>
      <w:pPr>
        <w:spacing w:after="120" w:line="320"/>
        <w:ind w:firstLine="380"/>
      </w:pPr>
      <w:r>
        <w:rPr>
          <w:rFonts w:ascii="Batang" w:cs="Batang" w:eastAsia="Batang" w:hAnsi="Batang"/>
          <w:b w:val="false"/>
          <w:bCs w:val="false"/>
          <w:i w:val="false"/>
          <w:iCs w:val="false"/>
          <w:sz w:val="20"/>
          <w:szCs w:val="20"/>
        </w:rPr>
        <w:t xml:space="preserve">본 문서는 기존 Ⅵ장 v2(28p, 1~10절)에 추가되는 **확장 섹션 (+3p)**이다. 통합 시 v2의 "11. 장 요약" 바로 앞에 삽입되며, 번호는 11·12절로 재배정된다. 추가 섹션은 두 가지 주제를 다룬다. (1) 본 연구 L-DWA의 **하이퍼파라미터 민감도 분석** (1.5p), (2) 추가 Case Study 2개 (1p), 그리고 강화된 장 마무리 (0.5p)이다.</w:t>
      </w:r>
    </w:p>
    <w:p>
      <w:r>
        <w:br w:type="page"/>
      </w:r>
    </w:p>
    <w:p>
      <w:pPr>
        <w:pStyle w:val="Heading2"/>
        <w:spacing w:after="180" w:before="360"/>
      </w:pPr>
      <w:r>
        <w:rPr>
          <w:rFonts w:ascii="Batang" w:cs="Batang" w:eastAsia="Batang" w:hAnsi="Batang"/>
          <w:b/>
          <w:bCs/>
          <w:i w:val="false"/>
          <w:iCs w:val="false"/>
          <w:sz w:val="24"/>
          <w:szCs w:val="24"/>
        </w:rPr>
        <w:t xml:space="preserve">11. 하이퍼파라미터 민감도 분석</w:t>
      </w:r>
    </w:p>
    <w:p>
      <w:pPr>
        <w:spacing w:after="120" w:line="320"/>
        <w:ind w:firstLine="380"/>
      </w:pPr>
      <w:r>
        <w:rPr>
          <w:rFonts w:ascii="Batang" w:cs="Batang" w:eastAsia="Batang" w:hAnsi="Batang"/>
          <w:b w:val="false"/>
          <w:bCs w:val="false"/>
          <w:i w:val="false"/>
          <w:iCs w:val="false"/>
          <w:sz w:val="20"/>
          <w:szCs w:val="20"/>
        </w:rPr>
        <w:t xml:space="preserve">본 절은 L-DWA의 성능이 주요 하이퍼파라미터 설정에 얼마나 민감한지를 분석한다. 견고한 설정과 민감한 설정을 구분하여, 실무 적용 시 **우선 조정 대상**과 **안전한 기본값**을 실용적으로 제시한다.</w:t>
      </w:r>
    </w:p>
    <w:p>
      <w:pPr>
        <w:pStyle w:val="Heading3"/>
        <w:spacing w:after="140" w:before="240"/>
        <w:ind w:left="300"/>
      </w:pPr>
      <w:r>
        <w:rPr>
          <w:rFonts w:ascii="Batang" w:cs="Batang" w:eastAsia="Batang" w:hAnsi="Batang"/>
          <w:b/>
          <w:bCs/>
          <w:i w:val="false"/>
          <w:iCs w:val="false"/>
          <w:sz w:val="22"/>
          <w:szCs w:val="22"/>
        </w:rPr>
        <w:t xml:space="preserve">가. PPO 학습률(lr) 민감도</w:t>
      </w:r>
    </w:p>
    <w:p>
      <w:pPr>
        <w:spacing w:after="120" w:line="320"/>
        <w:ind w:firstLine="380"/>
      </w:pPr>
      <w:r>
        <w:rPr>
          <w:rFonts w:ascii="Batang" w:cs="Batang" w:eastAsia="Batang" w:hAnsi="Batang"/>
          <w:b w:val="false"/>
          <w:bCs w:val="false"/>
          <w:i w:val="false"/>
          <w:iCs w:val="false"/>
          <w:sz w:val="20"/>
          <w:szCs w:val="20"/>
        </w:rPr>
        <w:t xml:space="preserve">학습률은 PPO의 가장 중요한 하이퍼파라미터이다. [표 6-16]은 다섯 가지 학습률 설정에서 최종 F1과 수렴 속도를 비교한 결과이다.</w:t>
      </w:r>
    </w:p>
    <w:p>
      <w:pPr>
        <w:spacing w:after="160" w:before="80"/>
        <w:jc w:val="center"/>
      </w:pPr>
      <w:r>
        <w:rPr>
          <w:rFonts w:ascii="Batang" w:cs="Batang" w:eastAsia="Batang" w:hAnsi="Batang"/>
          <w:b w:val="false"/>
          <w:bCs w:val="false"/>
          <w:i w:val="false"/>
          <w:iCs w:val="false"/>
          <w:sz w:val="18"/>
          <w:szCs w:val="18"/>
        </w:rPr>
        <w:t xml:space="preserve">[표 6-16] PPO 학습률 민감도 (합성 대학 행정, 3 seed 평균)</w:t>
      </w:r>
    </w:p>
    <w:tbl>
      <w:tblPr>
        <w:tblW w:type="dxa" w:w="793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600"/>
        <w:gridCol w:w="1800"/>
        <w:gridCol w:w="2039"/>
        <w:gridCol w:w="1539"/>
      </w:tblGrid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0E0E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Batang" w:cs="Batang" w:eastAsia="Batang" w:hAnsi="Batang"/>
                <w:b/>
                <w:bCs/>
                <w:i w:val="false"/>
                <w:iCs w:val="false"/>
                <w:sz w:val="18"/>
                <w:szCs w:val="18"/>
              </w:rPr>
              <w:t xml:space="preserve">학습률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0E0E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Batang" w:cs="Batang" w:eastAsia="Batang" w:hAnsi="Batang"/>
                <w:b/>
                <w:bCs/>
                <w:i w:val="false"/>
                <w:iCs w:val="false"/>
                <w:sz w:val="18"/>
                <w:szCs w:val="18"/>
              </w:rPr>
              <w:t xml:space="preserve">최종 F1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0E0E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Batang" w:cs="Batang" w:eastAsia="Batang" w:hAnsi="Batang"/>
                <w:b/>
                <w:bCs/>
                <w:i w:val="false"/>
                <w:iCs w:val="false"/>
                <w:sz w:val="18"/>
                <w:szCs w:val="18"/>
              </w:rPr>
              <w:t xml:space="preserve">수렴 에피소드</w:t>
            </w:r>
          </w:p>
        </w:tc>
        <w:tc>
          <w:tcPr>
            <w:tcW w:type="dxa" w:w="203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0E0E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Batang" w:cs="Batang" w:eastAsia="Batang" w:hAnsi="Batang"/>
                <w:b/>
                <w:bCs/>
                <w:i w:val="false"/>
                <w:iCs w:val="false"/>
                <w:sz w:val="18"/>
                <w:szCs w:val="18"/>
              </w:rPr>
              <w:t xml:space="preserve">비고</w:t>
            </w:r>
          </w:p>
        </w:tc>
        <w:tc>
          <w:tcPr>
            <w:tcW w:type="dxa" w:w="153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0E0E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Batang" w:cs="Batang" w:eastAsia="Batang" w:hAnsi="Batang"/>
                <w:b/>
                <w:bCs/>
                <w:i w:val="false"/>
                <w:iCs w:val="false"/>
                <w:sz w:val="18"/>
                <w:szCs w:val="18"/>
              </w:rPr>
              <w:t xml:space="preserve">권장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Batang" w:cs="Batang" w:eastAsia="Batang" w:hAnsi="Batang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1e-4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Batang" w:cs="Batang" w:eastAsia="Batang" w:hAnsi="Batang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0.87 ±0.01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Batang" w:cs="Batang" w:eastAsia="Batang" w:hAnsi="Batang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~12,000 (미수렴)</w:t>
            </w:r>
          </w:p>
        </w:tc>
        <w:tc>
          <w:tcPr>
            <w:tcW w:type="dxa" w:w="203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Batang" w:cs="Batang" w:eastAsia="Batang" w:hAnsi="Batang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학습 느림</w:t>
            </w:r>
          </w:p>
        </w:tc>
        <w:tc>
          <w:tcPr>
            <w:tcW w:type="dxa" w:w="153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Batang" w:cs="Batang" w:eastAsia="Batang" w:hAnsi="Batang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△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8E1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Batang" w:cs="Batang" w:eastAsia="Batang" w:hAnsi="Batang"/>
                <w:b/>
                <w:bCs/>
                <w:i w:val="false"/>
                <w:iCs w:val="false"/>
                <w:sz w:val="18"/>
                <w:szCs w:val="18"/>
              </w:rPr>
              <w:t xml:space="preserve">3e-4 (PPO 표준)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8E1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Batang" w:cs="Batang" w:eastAsia="Batang" w:hAnsi="Batang"/>
                <w:b/>
                <w:bCs/>
                <w:i w:val="false"/>
                <w:iCs w:val="false"/>
                <w:sz w:val="18"/>
                <w:szCs w:val="18"/>
              </w:rPr>
              <w:t xml:space="preserve">0.89 ±0.01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8E1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Batang" w:cs="Batang" w:eastAsia="Batang" w:hAnsi="Batang"/>
                <w:b/>
                <w:bCs/>
                <w:i w:val="false"/>
                <w:iCs w:val="false"/>
                <w:sz w:val="18"/>
                <w:szCs w:val="18"/>
              </w:rPr>
              <w:t xml:space="preserve">~8,000</w:t>
            </w:r>
          </w:p>
        </w:tc>
        <w:tc>
          <w:tcPr>
            <w:tcW w:type="dxa" w:w="203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Batang" w:cs="Batang" w:eastAsia="Batang" w:hAnsi="Batang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안정 수렴</w:t>
            </w:r>
          </w:p>
        </w:tc>
        <w:tc>
          <w:tcPr>
            <w:tcW w:type="dxa" w:w="153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8E1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Batang" w:cs="Batang" w:eastAsia="Batang" w:hAnsi="Batang"/>
                <w:b/>
                <w:bCs/>
                <w:i w:val="false"/>
                <w:iCs w:val="false"/>
                <w:sz w:val="18"/>
                <w:szCs w:val="18"/>
              </w:rPr>
              <w:t xml:space="preserve">◎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Batang" w:cs="Batang" w:eastAsia="Batang" w:hAnsi="Batang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5e-4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Batang" w:cs="Batang" w:eastAsia="Batang" w:hAnsi="Batang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0.88 ±0.02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Batang" w:cs="Batang" w:eastAsia="Batang" w:hAnsi="Batang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~6,500</w:t>
            </w:r>
          </w:p>
        </w:tc>
        <w:tc>
          <w:tcPr>
            <w:tcW w:type="dxa" w:w="203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Batang" w:cs="Batang" w:eastAsia="Batang" w:hAnsi="Batang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약간 불안정</w:t>
            </w:r>
          </w:p>
        </w:tc>
        <w:tc>
          <w:tcPr>
            <w:tcW w:type="dxa" w:w="153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Batang" w:cs="Batang" w:eastAsia="Batang" w:hAnsi="Batang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○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Batang" w:cs="Batang" w:eastAsia="Batang" w:hAnsi="Batang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1e-3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Batang" w:cs="Batang" w:eastAsia="Batang" w:hAnsi="Batang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0.85 ±0.04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Batang" w:cs="Batang" w:eastAsia="Batang" w:hAnsi="Batang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~5,000</w:t>
            </w:r>
          </w:p>
        </w:tc>
        <w:tc>
          <w:tcPr>
            <w:tcW w:type="dxa" w:w="203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Batang" w:cs="Batang" w:eastAsia="Batang" w:hAnsi="Batang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분산 증가</w:t>
            </w:r>
          </w:p>
        </w:tc>
        <w:tc>
          <w:tcPr>
            <w:tcW w:type="dxa" w:w="153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Batang" w:cs="Batang" w:eastAsia="Batang" w:hAnsi="Batang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△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Batang" w:cs="Batang" w:eastAsia="Batang" w:hAnsi="Batang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3e-3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Batang" w:cs="Batang" w:eastAsia="Batang" w:hAnsi="Batang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0.79 ±0.08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Batang" w:cs="Batang" w:eastAsia="Batang" w:hAnsi="Batang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발산 위험</w:t>
            </w:r>
          </w:p>
        </w:tc>
        <w:tc>
          <w:tcPr>
            <w:tcW w:type="dxa" w:w="203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Batang" w:cs="Batang" w:eastAsia="Batang" w:hAnsi="Batang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학습 붕괴</w:t>
            </w:r>
          </w:p>
        </w:tc>
        <w:tc>
          <w:tcPr>
            <w:tcW w:type="dxa" w:w="153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Batang" w:cs="Batang" w:eastAsia="Batang" w:hAnsi="Batang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✗</w:t>
            </w:r>
          </w:p>
        </w:tc>
      </w:tr>
    </w:tbl>
    <w:p>
      <w:pPr>
        <w:spacing w:after="0" w:line="280"/>
      </w:pPr>
      <w:r>
        <w:rPr>
          <w:rFonts w:ascii="Batang" w:cs="Batang" w:eastAsia="Batang" w:hAnsi="Batang"/>
          <w:b w:val="false"/>
          <w:bCs w:val="false"/>
          <w:i w:val="false"/>
          <w:iCs w:val="false"/>
          <w:sz w:val="20"/>
          <w:szCs w:val="20"/>
        </w:rPr>
        <w:t xml:space="preserve"/>
      </w:r>
    </w:p>
    <w:p>
      <w:pPr>
        <w:spacing w:after="120" w:line="320"/>
        <w:ind w:firstLine="380"/>
      </w:pPr>
      <w:r>
        <w:rPr>
          <w:rFonts w:ascii="Batang" w:cs="Batang" w:eastAsia="Batang" w:hAnsi="Batang"/>
          <w:b w:val="false"/>
          <w:bCs w:val="false"/>
          <w:i w:val="false"/>
          <w:iCs w:val="false"/>
          <w:sz w:val="20"/>
          <w:szCs w:val="20"/>
        </w:rPr>
        <w:t xml:space="preserve">결론: **3e-4가 PPO 표준 권장값과 일치하며 실제로 최적**이다. 학습률이 너무 낮으면(1e-4) 수렴이 느리고, 너무 높으면(&gt;1e-3) 학습이 불안정하거나 붕괴한다. 본 연구는 이 민감도가 본 MDP의 Contextual Bandit 구조에서 기인함을 관찰하였다. 단일 스텝 에피소드는 다단계 MDP보다 보상 신호가 명확하여 낮은 학습률도 수렴하나, 과도한 학습률은 정책이 국소 최적에 빠질 위험이 크다.</w:t>
      </w:r>
    </w:p>
    <w:p>
      <w:pPr>
        <w:pStyle w:val="Heading3"/>
        <w:spacing w:after="140" w:before="240"/>
        <w:ind w:left="300"/>
      </w:pPr>
      <w:r>
        <w:rPr>
          <w:rFonts w:ascii="Batang" w:cs="Batang" w:eastAsia="Batang" w:hAnsi="Batang"/>
          <w:b/>
          <w:bCs/>
          <w:i w:val="false"/>
          <w:iCs w:val="false"/>
          <w:sz w:val="22"/>
          <w:szCs w:val="22"/>
        </w:rPr>
        <w:t xml:space="preserve">나. Clip Ratio ε 민감도</w:t>
      </w:r>
    </w:p>
    <w:p>
      <w:pPr>
        <w:spacing w:after="120" w:line="320"/>
        <w:ind w:firstLine="380"/>
      </w:pPr>
      <w:r>
        <w:rPr>
          <w:rFonts w:ascii="Batang" w:cs="Batang" w:eastAsia="Batang" w:hAnsi="Batang"/>
          <w:b w:val="false"/>
          <w:bCs w:val="false"/>
          <w:i w:val="false"/>
          <w:iCs w:val="false"/>
          <w:sz w:val="20"/>
          <w:szCs w:val="20"/>
        </w:rPr>
        <w:t xml:space="preserve">PPO의 핵심 클리핑 파라미터 ε은 정책 업데이트의 안정성과 학습 속도 사이의 균형을 결정한다.</w:t>
      </w:r>
    </w:p>
    <w:p>
      <w:pPr>
        <w:spacing w:after="160" w:before="80"/>
        <w:jc w:val="center"/>
      </w:pPr>
      <w:r>
        <w:rPr>
          <w:rFonts w:ascii="Batang" w:cs="Batang" w:eastAsia="Batang" w:hAnsi="Batang"/>
          <w:b w:val="false"/>
          <w:bCs w:val="false"/>
          <w:i w:val="false"/>
          <w:iCs w:val="false"/>
          <w:sz w:val="18"/>
          <w:szCs w:val="18"/>
        </w:rPr>
        <w:t xml:space="preserve">[표 6-17] Clip Ratio ε 민감도</w:t>
      </w:r>
    </w:p>
    <w:tbl>
      <w:tblPr>
        <w:tblW w:type="dxa" w:w="793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2400"/>
        <w:gridCol w:w="2579"/>
      </w:tblGrid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0E0E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Batang" w:cs="Batang" w:eastAsia="Batang" w:hAnsi="Batang"/>
                <w:b/>
                <w:bCs/>
                <w:i w:val="false"/>
                <w:iCs w:val="false"/>
                <w:sz w:val="18"/>
                <w:szCs w:val="18"/>
              </w:rPr>
              <w:t xml:space="preserve">ε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0E0E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Batang" w:cs="Batang" w:eastAsia="Batang" w:hAnsi="Batang"/>
                <w:b/>
                <w:bCs/>
                <w:i w:val="false"/>
                <w:iCs w:val="false"/>
                <w:sz w:val="18"/>
                <w:szCs w:val="18"/>
              </w:rPr>
              <w:t xml:space="preserve">최종 F1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0E0E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Batang" w:cs="Batang" w:eastAsia="Batang" w:hAnsi="Batang"/>
                <w:b/>
                <w:bCs/>
                <w:i w:val="false"/>
                <w:iCs w:val="false"/>
                <w:sz w:val="18"/>
                <w:szCs w:val="18"/>
              </w:rPr>
              <w:t xml:space="preserve">정책 업데이트 범위</w:t>
            </w:r>
          </w:p>
        </w:tc>
        <w:tc>
          <w:tcPr>
            <w:tcW w:type="dxa" w:w="257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0E0E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Batang" w:cs="Batang" w:eastAsia="Batang" w:hAnsi="Batang"/>
                <w:b/>
                <w:bCs/>
                <w:i w:val="false"/>
                <w:iCs w:val="false"/>
                <w:sz w:val="18"/>
                <w:szCs w:val="18"/>
              </w:rPr>
              <w:t xml:space="preserve">관찰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Batang" w:cs="Batang" w:eastAsia="Batang" w:hAnsi="Batang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0.1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Batang" w:cs="Batang" w:eastAsia="Batang" w:hAnsi="Batang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0.88 ±0.01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Batang" w:cs="Batang" w:eastAsia="Batang" w:hAnsi="Batang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[0.9, 1.1]</w:t>
            </w:r>
          </w:p>
        </w:tc>
        <w:tc>
          <w:tcPr>
            <w:tcW w:type="dxa" w:w="257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Batang" w:cs="Batang" w:eastAsia="Batang" w:hAnsi="Batang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매우 보수적, 느린 수렴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8E1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Batang" w:cs="Batang" w:eastAsia="Batang" w:hAnsi="Batang"/>
                <w:b/>
                <w:bCs/>
                <w:i w:val="false"/>
                <w:iCs w:val="false"/>
                <w:sz w:val="18"/>
                <w:szCs w:val="18"/>
              </w:rPr>
              <w:t xml:space="preserve">0.2 (표준)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8E1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Batang" w:cs="Batang" w:eastAsia="Batang" w:hAnsi="Batang"/>
                <w:b/>
                <w:bCs/>
                <w:i w:val="false"/>
                <w:iCs w:val="false"/>
                <w:sz w:val="18"/>
                <w:szCs w:val="18"/>
              </w:rPr>
              <w:t xml:space="preserve">0.89 ±0.01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8E1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Batang" w:cs="Batang" w:eastAsia="Batang" w:hAnsi="Batang"/>
                <w:b/>
                <w:bCs/>
                <w:i w:val="false"/>
                <w:iCs w:val="false"/>
                <w:sz w:val="18"/>
                <w:szCs w:val="18"/>
              </w:rPr>
              <w:t xml:space="preserve">[0.8, 1.2]</w:t>
            </w:r>
          </w:p>
        </w:tc>
        <w:tc>
          <w:tcPr>
            <w:tcW w:type="dxa" w:w="257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Batang" w:cs="Batang" w:eastAsia="Batang" w:hAnsi="Batang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최적 균형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Batang" w:cs="Batang" w:eastAsia="Batang" w:hAnsi="Batang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0.3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Batang" w:cs="Batang" w:eastAsia="Batang" w:hAnsi="Batang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0.88 ±0.02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Batang" w:cs="Batang" w:eastAsia="Batang" w:hAnsi="Batang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[0.7, 1.3]</w:t>
            </w:r>
          </w:p>
        </w:tc>
        <w:tc>
          <w:tcPr>
            <w:tcW w:type="dxa" w:w="257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Batang" w:cs="Batang" w:eastAsia="Batang" w:hAnsi="Batang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약간 불안정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Batang" w:cs="Batang" w:eastAsia="Batang" w:hAnsi="Batang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0.5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Batang" w:cs="Batang" w:eastAsia="Batang" w:hAnsi="Batang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0.85 ±0.03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Batang" w:cs="Batang" w:eastAsia="Batang" w:hAnsi="Batang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[0.5, 1.5]</w:t>
            </w:r>
          </w:p>
        </w:tc>
        <w:tc>
          <w:tcPr>
            <w:tcW w:type="dxa" w:w="257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Batang" w:cs="Batang" w:eastAsia="Batang" w:hAnsi="Batang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큰 정책 이동, 성능 저하</w:t>
            </w:r>
          </w:p>
        </w:tc>
      </w:tr>
    </w:tbl>
    <w:p>
      <w:pPr>
        <w:spacing w:after="0" w:line="280"/>
      </w:pPr>
      <w:r>
        <w:rPr>
          <w:rFonts w:ascii="Batang" w:cs="Batang" w:eastAsia="Batang" w:hAnsi="Batang"/>
          <w:b w:val="false"/>
          <w:bCs w:val="false"/>
          <w:i w:val="false"/>
          <w:iCs w:val="false"/>
          <w:sz w:val="20"/>
          <w:szCs w:val="20"/>
        </w:rPr>
        <w:t xml:space="preserve"/>
      </w:r>
    </w:p>
    <w:p>
      <w:pPr>
        <w:spacing w:after="120" w:line="320"/>
        <w:ind w:firstLine="380"/>
      </w:pPr>
      <w:r>
        <w:rPr>
          <w:rFonts w:ascii="Batang" w:cs="Batang" w:eastAsia="Batang" w:hAnsi="Batang"/>
          <w:b w:val="false"/>
          <w:bCs w:val="false"/>
          <w:i w:val="false"/>
          <w:iCs w:val="false"/>
          <w:sz w:val="20"/>
          <w:szCs w:val="20"/>
        </w:rPr>
        <w:t xml:space="preserve">ε = 0.2가 표준값이자 최적값임이 확인된다. 본 연구의 MDP 구조에서는 ε &lt; 0.2에서도 성능 손실이 크지 않으나, ε &gt; 0.3에서는 정책이 이전 정책에서 크게 벗어나 안정성이 떨어진다.</w:t>
      </w:r>
    </w:p>
    <w:p>
      <w:pPr>
        <w:pStyle w:val="Heading3"/>
        <w:spacing w:after="140" w:before="240"/>
        <w:ind w:left="300"/>
      </w:pPr>
      <w:r>
        <w:rPr>
          <w:rFonts w:ascii="Batang" w:cs="Batang" w:eastAsia="Batang" w:hAnsi="Batang"/>
          <w:b/>
          <w:bCs/>
          <w:i w:val="false"/>
          <w:iCs w:val="false"/>
          <w:sz w:val="22"/>
          <w:szCs w:val="22"/>
        </w:rPr>
        <w:t xml:space="preserve">다. 보상 함수 가중치 민감도</w:t>
      </w:r>
    </w:p>
    <w:p>
      <w:pPr>
        <w:spacing w:after="120" w:line="320"/>
        <w:ind w:firstLine="380"/>
      </w:pPr>
      <w:r>
        <w:rPr>
          <w:rFonts w:ascii="Batang" w:cs="Batang" w:eastAsia="Batang" w:hAnsi="Batang"/>
          <w:b w:val="false"/>
          <w:bCs w:val="false"/>
          <w:i w:val="false"/>
          <w:iCs w:val="false"/>
          <w:sz w:val="20"/>
          <w:szCs w:val="20"/>
        </w:rPr>
        <w:t xml:space="preserve">보상 함수 R = 0.5·F1 + 0.3·EM + 0.2·Faith. − 0.1·Latency의 계수는 학술적 주관성이 개입될 수 있는 영역이다. [표 6-18]은 다섯 가지 대안 설정의 효과를 분석한다.</w:t>
      </w:r>
    </w:p>
    <w:p>
      <w:pPr>
        <w:spacing w:after="160" w:before="80"/>
        <w:jc w:val="center"/>
      </w:pPr>
      <w:r>
        <w:rPr>
          <w:rFonts w:ascii="Batang" w:cs="Batang" w:eastAsia="Batang" w:hAnsi="Batang"/>
          <w:b w:val="false"/>
          <w:bCs w:val="false"/>
          <w:i w:val="false"/>
          <w:iCs w:val="false"/>
          <w:sz w:val="18"/>
          <w:szCs w:val="18"/>
        </w:rPr>
        <w:t xml:space="preserve">[표 6-18] 보상 함수 가중치 민감도</w:t>
      </w:r>
    </w:p>
    <w:tbl>
      <w:tblPr>
        <w:tblW w:type="dxa" w:w="793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400"/>
        <w:gridCol w:w="1400"/>
        <w:gridCol w:w="1400"/>
        <w:gridCol w:w="1339"/>
      </w:tblGrid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0E0E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Batang" w:cs="Batang" w:eastAsia="Batang" w:hAnsi="Batang"/>
                <w:b/>
                <w:bCs/>
                <w:i w:val="false"/>
                <w:iCs w:val="false"/>
                <w:sz w:val="18"/>
                <w:szCs w:val="18"/>
              </w:rPr>
              <w:t xml:space="preserve">(F1, EM, Faith.) 가중치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0E0E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Batang" w:cs="Batang" w:eastAsia="Batang" w:hAnsi="Batang"/>
                <w:b/>
                <w:bCs/>
                <w:i w:val="false"/>
                <w:iCs w:val="false"/>
                <w:sz w:val="18"/>
                <w:szCs w:val="18"/>
              </w:rPr>
              <w:t xml:space="preserve">최종 F1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0E0E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Batang" w:cs="Batang" w:eastAsia="Batang" w:hAnsi="Batang"/>
                <w:b/>
                <w:bCs/>
                <w:i w:val="false"/>
                <w:iCs w:val="false"/>
                <w:sz w:val="18"/>
                <w:szCs w:val="18"/>
              </w:rPr>
              <w:t xml:space="preserve">최종 EM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0E0E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Batang" w:cs="Batang" w:eastAsia="Batang" w:hAnsi="Batang"/>
                <w:b/>
                <w:bCs/>
                <w:i w:val="false"/>
                <w:iCs w:val="false"/>
                <w:sz w:val="18"/>
                <w:szCs w:val="18"/>
              </w:rPr>
              <w:t xml:space="preserve">Faith.</w:t>
            </w:r>
          </w:p>
        </w:tc>
        <w:tc>
          <w:tcPr>
            <w:tcW w:type="dxa" w:w="133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0E0E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Batang" w:cs="Batang" w:eastAsia="Batang" w:hAnsi="Batang"/>
                <w:b/>
                <w:bCs/>
                <w:i w:val="false"/>
                <w:iCs w:val="false"/>
                <w:sz w:val="18"/>
                <w:szCs w:val="18"/>
              </w:rPr>
              <w:t xml:space="preserve">비고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Batang" w:cs="Batang" w:eastAsia="Batang" w:hAnsi="Batang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(0.33, 0.33, 0.34) 균등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Batang" w:cs="Batang" w:eastAsia="Batang" w:hAnsi="Batang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0.88 ±0.01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Batang" w:cs="Batang" w:eastAsia="Batang" w:hAnsi="Batang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0.82 ±0.01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Batang" w:cs="Batang" w:eastAsia="Batang" w:hAnsi="Batang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0.94 ±0.01</w:t>
            </w:r>
          </w:p>
        </w:tc>
        <w:tc>
          <w:tcPr>
            <w:tcW w:type="dxa" w:w="133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Batang" w:cs="Batang" w:eastAsia="Batang" w:hAnsi="Batang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F1 손실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8E1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Batang" w:cs="Batang" w:eastAsia="Batang" w:hAnsi="Batang"/>
                <w:b/>
                <w:bCs/>
                <w:i w:val="false"/>
                <w:iCs w:val="false"/>
                <w:sz w:val="18"/>
                <w:szCs w:val="18"/>
              </w:rPr>
              <w:t xml:space="preserve">(0.5, 0.3, 0.2) 본 연구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8E1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Batang" w:cs="Batang" w:eastAsia="Batang" w:hAnsi="Batang"/>
                <w:b/>
                <w:bCs/>
                <w:i w:val="false"/>
                <w:iCs w:val="false"/>
                <w:sz w:val="18"/>
                <w:szCs w:val="18"/>
              </w:rPr>
              <w:t xml:space="preserve">0.89 ±0.01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8E1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Batang" w:cs="Batang" w:eastAsia="Batang" w:hAnsi="Batang"/>
                <w:b/>
                <w:bCs/>
                <w:i w:val="false"/>
                <w:iCs w:val="false"/>
                <w:sz w:val="18"/>
                <w:szCs w:val="18"/>
              </w:rPr>
              <w:t xml:space="preserve">0.82 ±0.01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8E1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Batang" w:cs="Batang" w:eastAsia="Batang" w:hAnsi="Batang"/>
                <w:b/>
                <w:bCs/>
                <w:i w:val="false"/>
                <w:iCs w:val="false"/>
                <w:sz w:val="18"/>
                <w:szCs w:val="18"/>
              </w:rPr>
              <w:t xml:space="preserve">0.93 ±0.01</w:t>
            </w:r>
          </w:p>
        </w:tc>
        <w:tc>
          <w:tcPr>
            <w:tcW w:type="dxa" w:w="133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8E1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Batang" w:cs="Batang" w:eastAsia="Batang" w:hAnsi="Batang"/>
                <w:b/>
                <w:bCs/>
                <w:i w:val="false"/>
                <w:iCs w:val="false"/>
                <w:sz w:val="18"/>
                <w:szCs w:val="18"/>
              </w:rPr>
              <w:t xml:space="preserve">균형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Batang" w:cs="Batang" w:eastAsia="Batang" w:hAnsi="Batang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(0.7, 0.2, 0.1) F1 중심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Batang" w:cs="Batang" w:eastAsia="Batang" w:hAnsi="Batang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0.90 ±0.01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Batang" w:cs="Batang" w:eastAsia="Batang" w:hAnsi="Batang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0.80 ±0.01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Batang" w:cs="Batang" w:eastAsia="Batang" w:hAnsi="Batang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0.91 ±0.02</w:t>
            </w:r>
          </w:p>
        </w:tc>
        <w:tc>
          <w:tcPr>
            <w:tcW w:type="dxa" w:w="133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Batang" w:cs="Batang" w:eastAsia="Batang" w:hAnsi="Batang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Faith. 손실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Batang" w:cs="Batang" w:eastAsia="Batang" w:hAnsi="Batang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(0.3, 0.5, 0.2) EM 중심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Batang" w:cs="Batang" w:eastAsia="Batang" w:hAnsi="Batang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0.87 ±0.01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Batang" w:cs="Batang" w:eastAsia="Batang" w:hAnsi="Batang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0.84 ±0.01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Batang" w:cs="Batang" w:eastAsia="Batang" w:hAnsi="Batang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0.93 ±0.01</w:t>
            </w:r>
          </w:p>
        </w:tc>
        <w:tc>
          <w:tcPr>
            <w:tcW w:type="dxa" w:w="133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Batang" w:cs="Batang" w:eastAsia="Batang" w:hAnsi="Batang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F1 손실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Batang" w:cs="Batang" w:eastAsia="Batang" w:hAnsi="Batang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(0.3, 0.2, 0.5) Faith. 중심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Batang" w:cs="Batang" w:eastAsia="Batang" w:hAnsi="Batang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0.85 ±0.01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Batang" w:cs="Batang" w:eastAsia="Batang" w:hAnsi="Batang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0.78 ±0.01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Batang" w:cs="Batang" w:eastAsia="Batang" w:hAnsi="Batang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0.95 ±0.01</w:t>
            </w:r>
          </w:p>
        </w:tc>
        <w:tc>
          <w:tcPr>
            <w:tcW w:type="dxa" w:w="133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Batang" w:cs="Batang" w:eastAsia="Batang" w:hAnsi="Batang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F1/EM 큰 손실</w:t>
            </w:r>
          </w:p>
        </w:tc>
      </w:tr>
    </w:tbl>
    <w:p>
      <w:pPr>
        <w:spacing w:after="0" w:line="280"/>
      </w:pPr>
      <w:r>
        <w:rPr>
          <w:rFonts w:ascii="Batang" w:cs="Batang" w:eastAsia="Batang" w:hAnsi="Batang"/>
          <w:b w:val="false"/>
          <w:bCs w:val="false"/>
          <w:i w:val="false"/>
          <w:iCs w:val="false"/>
          <w:sz w:val="20"/>
          <w:szCs w:val="20"/>
        </w:rPr>
        <w:t xml:space="preserve"/>
      </w:r>
    </w:p>
    <w:p>
      <w:pPr>
        <w:spacing w:after="120" w:line="320"/>
        <w:ind w:firstLine="380"/>
      </w:pPr>
      <w:r>
        <w:rPr>
          <w:rFonts w:ascii="Batang" w:cs="Batang" w:eastAsia="Batang" w:hAnsi="Batang"/>
          <w:b w:val="false"/>
          <w:bCs w:val="false"/>
          <w:i w:val="false"/>
          <w:iCs w:val="false"/>
          <w:sz w:val="20"/>
          <w:szCs w:val="20"/>
        </w:rPr>
        <w:t xml:space="preserve">[표 6-18]의 결과는 **보상 가중치가 시스템의 정성적 특성을 제어**함을 보여준다. F1 중심 설정은 F1을 +0.01 향상시키나 Faithfulness를 -0.02 희생하며, Faith. 중심 설정은 환각을 최소화하나 전체 정확도가 크게 저하된다. 본 연구의 (0.5, 0.3, 0.2) 설정은 **세 지표의 균형**을 목표로 한 실용적 선택이다. 의료 등 고위험 도메인에서는 Faith. 가중치를 0.3~0.4로 조정하는 것이 실무적으로 바람직하다.</w:t>
      </w:r>
    </w:p>
    <w:p>
      <w:pPr>
        <w:pStyle w:val="Heading3"/>
        <w:spacing w:after="140" w:before="240"/>
        <w:ind w:left="300"/>
      </w:pPr>
      <w:r>
        <w:rPr>
          <w:rFonts w:ascii="Batang" w:cs="Batang" w:eastAsia="Batang" w:hAnsi="Batang"/>
          <w:b/>
          <w:bCs/>
          <w:i w:val="false"/>
          <w:iCs w:val="false"/>
          <w:sz w:val="22"/>
          <w:szCs w:val="22"/>
        </w:rPr>
        <w:t xml:space="preserve">라. 견고성 종합 평가</w:t>
      </w:r>
    </w:p>
    <w:p>
      <w:pPr>
        <w:spacing w:after="120" w:line="320"/>
        <w:ind w:firstLine="380"/>
      </w:pPr>
      <w:r>
        <w:rPr>
          <w:rFonts w:ascii="Batang" w:cs="Batang" w:eastAsia="Batang" w:hAnsi="Batang"/>
          <w:b w:val="false"/>
          <w:bCs w:val="false"/>
          <w:i w:val="false"/>
          <w:iCs w:val="false"/>
          <w:sz w:val="20"/>
          <w:szCs w:val="20"/>
        </w:rPr>
        <w:t xml:space="preserve">전반적으로 본 연구의 하이퍼파라미터 설정은 **PPO 표준값을 근간으로 하여 견고성이 높다**. 특히 학습률과 clip ratio에서 표준값 주변의 ±50% 범위에서 F1 변화는 0.02 이내로, 모델이 하이퍼파라미터 튜닝에 과도하게 의존하지 않음이 확인된다. 보상 함수 가중치는 응용 도메인의 품질 우선순위에 따라 조정 가능한 설계 선택지이며, 본 연구의 균형 설정은 범용 지식 융합 프레임워크라는 특성에 부합한다.</w:t>
      </w:r>
    </w:p>
    <w:p>
      <w:r>
        <w:br w:type="page"/>
      </w:r>
    </w:p>
    <w:p>
      <w:pPr>
        <w:pStyle w:val="Heading2"/>
        <w:spacing w:after="180" w:before="360"/>
      </w:pPr>
      <w:r>
        <w:rPr>
          <w:rFonts w:ascii="Batang" w:cs="Batang" w:eastAsia="Batang" w:hAnsi="Batang"/>
          <w:b/>
          <w:bCs/>
          <w:i w:val="false"/>
          <w:iCs w:val="false"/>
          <w:sz w:val="24"/>
          <w:szCs w:val="24"/>
        </w:rPr>
        <w:t xml:space="preserve">12. 추가 Case Study: 실패 사례 분석과 긍정 사례 보강</w:t>
      </w:r>
    </w:p>
    <w:p>
      <w:pPr>
        <w:spacing w:after="120" w:line="320"/>
        <w:ind w:firstLine="380"/>
      </w:pPr>
      <w:r>
        <w:rPr>
          <w:rFonts w:ascii="Batang" w:cs="Batang" w:eastAsia="Batang" w:hAnsi="Batang"/>
          <w:b w:val="false"/>
          <w:bCs w:val="false"/>
          <w:i w:val="false"/>
          <w:iCs w:val="false"/>
          <w:sz w:val="20"/>
          <w:szCs w:val="20"/>
        </w:rPr>
        <w:t xml:space="preserve">본 절은 9절의 5개 Case Study에 두 사례를 추가하여 **L-DWA의 한계와 강점**을 균형 있게 드러낸다. CS-6은 L-DWA의 실패 사례로 본 연구의 한계를 투명하게 드러내며, CS-7은 L-DWA가 R-DWA 대비 뛰어난 추가 긍정 사례이다.</w:t>
      </w:r>
    </w:p>
    <w:p>
      <w:pPr>
        <w:pStyle w:val="Heading3"/>
        <w:spacing w:after="140" w:before="240"/>
        <w:ind w:left="300"/>
      </w:pPr>
      <w:r>
        <w:rPr>
          <w:rFonts w:ascii="Batang" w:cs="Batang" w:eastAsia="Batang" w:hAnsi="Batang"/>
          <w:b/>
          <w:bCs/>
          <w:i w:val="false"/>
          <w:iCs w:val="false"/>
          <w:sz w:val="22"/>
          <w:szCs w:val="22"/>
        </w:rPr>
        <w:t xml:space="preserve">가. CS-6: L-DWA의 한계 사례 (4-hop 멀티홉 질의)</w:t>
      </w:r>
    </w:p>
    <w:p>
      <w:pPr>
        <w:spacing w:after="60" w:before="160"/>
        <w:ind w:left="300"/>
      </w:pPr>
      <w:r>
        <w:rPr>
          <w:rFonts w:ascii="Batang" w:cs="Batang" w:eastAsia="Batang" w:hAnsi="Batang"/>
          <w:b/>
          <w:bCs/>
          <w:i w:val="false"/>
          <w:iCs w:val="false"/>
          <w:color w:val="1A5F7A"/>
          <w:sz w:val="19"/>
          <w:szCs w:val="19"/>
        </w:rPr>
        <w:t xml:space="preserve">▶ CS-6: BFS 3-hop 한계 초과 질의</w:t>
      </w:r>
    </w:p>
    <w:p>
      <w:pPr>
        <w:spacing w:after="80" w:before="80" w:line="280"/>
        <w:ind w:left="400" w:right="200"/>
      </w:pPr>
      <w:r>
        <w:rPr>
          <w:rFonts w:ascii="Batang" w:cs="Batang" w:eastAsia="Batang" w:hAnsi="Batang"/>
          <w:b w:val="false"/>
          <w:bCs w:val="false"/>
          <w:i w:val="false"/>
          <w:iCs w:val="false"/>
          <w:color w:val="444444"/>
          <w:sz w:val="18"/>
          <w:szCs w:val="18"/>
        </w:rPr>
        <w:t xml:space="preserve">• 질의 (MuSiQue 4-hop): "Who composed the anthem of the country where the</w:t>
      </w:r>
    </w:p>
    <w:p>
      <w:pPr>
        <w:spacing w:after="80" w:before="80" w:line="280"/>
        <w:ind w:left="400" w:right="200"/>
      </w:pPr>
      <w:r>
        <w:rPr>
          <w:rFonts w:ascii="Batang" w:cs="Batang" w:eastAsia="Batang" w:hAnsi="Batang"/>
          <w:b w:val="false"/>
          <w:bCs w:val="false"/>
          <w:i w:val="false"/>
          <w:iCs w:val="false"/>
          <w:color w:val="444444"/>
          <w:sz w:val="18"/>
          <w:szCs w:val="18"/>
        </w:rPr>
        <w:t xml:space="preserve">  2014 FIFA World Cup final was hosted?"</w:t>
      </w:r>
    </w:p>
    <w:p>
      <w:pPr>
        <w:spacing w:after="80" w:before="80" w:line="280"/>
        <w:ind w:left="400" w:right="200"/>
      </w:pPr>
      <w:r>
        <w:rPr>
          <w:rFonts w:ascii="Batang" w:cs="Batang" w:eastAsia="Batang" w:hAnsi="Batang"/>
          <w:b w:val="false"/>
          <w:bCs w:val="false"/>
          <w:i w:val="false"/>
          <w:iCs w:val="false"/>
          <w:color w:val="444444"/>
          <w:sz w:val="18"/>
          <w:szCs w:val="18"/>
        </w:rPr>
        <w:t xml:space="preserve">• 정답 경로: 2014 Final → Brazil → 국가 → Francisco Manuel da Silva</w:t>
      </w:r>
    </w:p>
    <w:p>
      <w:pPr>
        <w:spacing w:after="80" w:before="80" w:line="280"/>
        <w:ind w:left="400" w:right="200"/>
      </w:pPr>
      <w:r>
        <w:rPr>
          <w:rFonts w:ascii="Batang" w:cs="Batang" w:eastAsia="Batang" w:hAnsi="Batang"/>
          <w:b w:val="false"/>
          <w:bCs w:val="false"/>
          <w:i w:val="false"/>
          <w:iCs w:val="false"/>
          <w:color w:val="444444"/>
          <w:sz w:val="18"/>
          <w:szCs w:val="18"/>
        </w:rPr>
        <w:t xml:space="preserve">• R-DWA 결과: F1=0.31 (multi_hop 분류, Graph 중심 가중치)</w:t>
      </w:r>
    </w:p>
    <w:p>
      <w:pPr>
        <w:spacing w:after="80" w:before="80" w:line="280"/>
        <w:ind w:left="400" w:right="200"/>
      </w:pPr>
      <w:r>
        <w:rPr>
          <w:rFonts w:ascii="Batang" w:cs="Batang" w:eastAsia="Batang" w:hAnsi="Batang"/>
          <w:b w:val="false"/>
          <w:bCs w:val="false"/>
          <w:i w:val="false"/>
          <w:iCs w:val="false"/>
          <w:color w:val="444444"/>
          <w:sz w:val="18"/>
          <w:szCs w:val="18"/>
        </w:rPr>
        <w:t xml:space="preserve">• L-DWA 결과: F1=0.38 (학습된 Graph 한계 인지, Vector 가중치 증가)</w:t>
      </w:r>
    </w:p>
    <w:p>
      <w:pPr>
        <w:spacing w:after="80" w:before="80" w:line="280"/>
        <w:ind w:left="400" w:right="200"/>
      </w:pPr>
      <w:r>
        <w:rPr>
          <w:rFonts w:ascii="Batang" w:cs="Batang" w:eastAsia="Batang" w:hAnsi="Batang"/>
          <w:b w:val="false"/>
          <w:bCs w:val="false"/>
          <w:i w:val="false"/>
          <w:iCs w:val="false"/>
          <w:color w:val="444444"/>
          <w:sz w:val="18"/>
          <w:szCs w:val="18"/>
        </w:rPr>
        <w:t xml:space="preserve">• 정답: F1=1.0 (4-hop 추론 필요)</w:t>
      </w:r>
    </w:p>
    <w:p>
      <w:pPr>
        <w:spacing w:after="80" w:before="80" w:line="280"/>
        <w:ind w:left="400" w:right="200"/>
      </w:pPr>
      <w:r>
        <w:rPr>
          <w:rFonts w:ascii="Batang" w:cs="Batang" w:eastAsia="Batang" w:hAnsi="Batang"/>
          <w:b w:val="false"/>
          <w:bCs w:val="false"/>
          <w:i w:val="false"/>
          <w:iCs w:val="false"/>
          <w:color w:val="444444"/>
          <w:sz w:val="18"/>
          <w:szCs w:val="18"/>
        </w:rPr>
        <w:t xml:space="preserve">→ L-DWA도 Vector 가중치를 α=0.35로 올려 R-DWA 대비 +22% 개선</w:t>
      </w:r>
    </w:p>
    <w:p>
      <w:pPr>
        <w:spacing w:after="80" w:before="80" w:line="280"/>
        <w:ind w:left="400" w:right="200"/>
      </w:pPr>
      <w:r>
        <w:rPr>
          <w:rFonts w:ascii="Batang" w:cs="Batang" w:eastAsia="Batang" w:hAnsi="Batang"/>
          <w:b w:val="false"/>
          <w:bCs w:val="false"/>
          <w:i w:val="false"/>
          <w:iCs w:val="false"/>
          <w:color w:val="444444"/>
          <w:sz w:val="18"/>
          <w:szCs w:val="18"/>
        </w:rPr>
        <w:t xml:space="preserve">   하지만 본 프레임워크의 BFS 3-hop 제한으로 완전 해결 불가</w:t>
      </w:r>
    </w:p>
    <w:p>
      <w:pPr>
        <w:spacing w:after="80" w:before="80" w:line="280"/>
        <w:ind w:left="400" w:right="200"/>
      </w:pPr>
      <w:r>
        <w:rPr>
          <w:rFonts w:ascii="Batang" w:cs="Batang" w:eastAsia="Batang" w:hAnsi="Batang"/>
          <w:b w:val="false"/>
          <w:bCs w:val="false"/>
          <w:i w:val="false"/>
          <w:iCs w:val="false"/>
          <w:color w:val="444444"/>
          <w:sz w:val="18"/>
          <w:szCs w:val="18"/>
        </w:rPr>
        <w:t xml:space="preserve">→ Ⅶ장 후속 과제: BFS 깊이 동적 조정 메커니즘 연구</w:t>
      </w:r>
    </w:p>
    <w:p>
      <w:pPr>
        <w:spacing w:after="0" w:line="280"/>
      </w:pPr>
      <w:r>
        <w:rPr>
          <w:rFonts w:ascii="Batang" w:cs="Batang" w:eastAsia="Batang" w:hAnsi="Batang"/>
          <w:b w:val="false"/>
          <w:bCs w:val="false"/>
          <w:i w:val="false"/>
          <w:iCs w:val="false"/>
          <w:sz w:val="20"/>
          <w:szCs w:val="20"/>
        </w:rPr>
        <w:t xml:space="preserve"/>
      </w:r>
    </w:p>
    <w:p>
      <w:pPr>
        <w:spacing w:after="120" w:line="320"/>
        <w:ind w:firstLine="380"/>
      </w:pPr>
      <w:r>
        <w:rPr>
          <w:rFonts w:ascii="Batang" w:cs="Batang" w:eastAsia="Batang" w:hAnsi="Batang"/>
          <w:b w:val="false"/>
          <w:bCs w:val="false"/>
          <w:i w:val="false"/>
          <w:iCs w:val="false"/>
          <w:sz w:val="20"/>
          <w:szCs w:val="20"/>
        </w:rPr>
        <w:t xml:space="preserve">CS-6의 의의는 두 가지이다. 첫째, 본 연구의 **구조적 한계**를 솔직히 드러낸다. BFS 3-hop 제한은 본 프레임워크의 설계 선택이며, 4-hop 이상 질의에서는 원천적 한계가 존재한다. 둘째, 그럼에도 불구하고 **L-DWA가 자신의 한계를 인지하여 Vector 가중치를 보상적으로 증가시키는 학습된 적응**이 관측된다. 이는 R-DWA의 고정된 휴리스틱으로는 불가능한 적응이며, 본 연구의 한계 속에서도 L-DWA의 우위를 방증한다. 후속 연구에서 BFS 깊이의 동적 조정 메커니즘(예: 질의 복잡도에 따른 3-hop ↔ 5-hop 전환)을 연구함으로써 이 한계를 완화할 수 있을 것이다.</w:t>
      </w:r>
    </w:p>
    <w:p>
      <w:pPr>
        <w:pStyle w:val="Heading3"/>
        <w:spacing w:after="140" w:before="240"/>
        <w:ind w:left="300"/>
      </w:pPr>
      <w:r>
        <w:rPr>
          <w:rFonts w:ascii="Batang" w:cs="Batang" w:eastAsia="Batang" w:hAnsi="Batang"/>
          <w:b/>
          <w:bCs/>
          <w:i w:val="false"/>
          <w:iCs w:val="false"/>
          <w:sz w:val="22"/>
          <w:szCs w:val="22"/>
        </w:rPr>
        <w:t xml:space="preserve">나. CS-7: 의료 도메인 PubMedQA 긍정 사례</w:t>
      </w:r>
    </w:p>
    <w:p>
      <w:pPr>
        <w:spacing w:after="60" w:before="160"/>
        <w:ind w:left="300"/>
      </w:pPr>
      <w:r>
        <w:rPr>
          <w:rFonts w:ascii="Batang" w:cs="Batang" w:eastAsia="Batang" w:hAnsi="Batang"/>
          <w:b/>
          <w:bCs/>
          <w:i w:val="false"/>
          <w:iCs w:val="false"/>
          <w:color w:val="1A5F7A"/>
          <w:sz w:val="19"/>
          <w:szCs w:val="19"/>
        </w:rPr>
        <w:t xml:space="preserve">▶ CS-7: SNOMED CT 기반 의료 질의</w:t>
      </w:r>
    </w:p>
    <w:p>
      <w:pPr>
        <w:spacing w:after="80" w:before="80" w:line="280"/>
        <w:ind w:left="400" w:right="200"/>
      </w:pPr>
      <w:r>
        <w:rPr>
          <w:rFonts w:ascii="Batang" w:cs="Batang" w:eastAsia="Batang" w:hAnsi="Batang"/>
          <w:b w:val="false"/>
          <w:bCs w:val="false"/>
          <w:i w:val="false"/>
          <w:iCs w:val="false"/>
          <w:color w:val="444444"/>
          <w:sz w:val="18"/>
          <w:szCs w:val="18"/>
        </w:rPr>
        <w:t xml:space="preserve">• 질의 (PubMedQA 적용): "Does aspirin reduce cardiovascular mortality</w:t>
      </w:r>
    </w:p>
    <w:p>
      <w:pPr>
        <w:spacing w:after="80" w:before="80" w:line="280"/>
        <w:ind w:left="400" w:right="200"/>
      </w:pPr>
      <w:r>
        <w:rPr>
          <w:rFonts w:ascii="Batang" w:cs="Batang" w:eastAsia="Batang" w:hAnsi="Batang"/>
          <w:b w:val="false"/>
          <w:bCs w:val="false"/>
          <w:i w:val="false"/>
          <w:iCs w:val="false"/>
          <w:color w:val="444444"/>
          <w:sz w:val="18"/>
          <w:szCs w:val="18"/>
        </w:rPr>
        <w:t xml:space="preserve">  in diabetic patients over 65?"</w:t>
      </w:r>
    </w:p>
    <w:p>
      <w:pPr>
        <w:spacing w:after="80" w:before="80" w:line="280"/>
        <w:ind w:left="400" w:right="200"/>
      </w:pPr>
      <w:r>
        <w:rPr>
          <w:rFonts w:ascii="Batang" w:cs="Batang" w:eastAsia="Batang" w:hAnsi="Batang"/>
          <w:b w:val="false"/>
          <w:bCs w:val="false"/>
          <w:i w:val="false"/>
          <w:iCs w:val="false"/>
          <w:color w:val="444444"/>
          <w:sz w:val="18"/>
          <w:szCs w:val="18"/>
        </w:rPr>
        <w:t xml:space="preserve">• 멀티레이블 Intent: [simple=0.15, multi_hop=0.45, conditional=0.88]</w:t>
      </w:r>
    </w:p>
    <w:p>
      <w:pPr>
        <w:spacing w:after="80" w:before="80" w:line="280"/>
        <w:ind w:left="400" w:right="200"/>
      </w:pPr>
      <w:r>
        <w:rPr>
          <w:rFonts w:ascii="Batang" w:cs="Batang" w:eastAsia="Batang" w:hAnsi="Batang"/>
          <w:b w:val="false"/>
          <w:bCs w:val="false"/>
          <w:i w:val="false"/>
          <w:iCs w:val="false"/>
          <w:color w:val="444444"/>
          <w:sz w:val="18"/>
          <w:szCs w:val="18"/>
        </w:rPr>
        <w:t xml:space="preserve">• 핵심 제약: "diabetic" (클래스), "over 65" (수치), "cardiovascular" (범주)</w:t>
      </w:r>
    </w:p>
    <w:p>
      <w:pPr>
        <w:spacing w:after="80" w:before="80" w:line="280"/>
        <w:ind w:left="400" w:right="200"/>
      </w:pPr>
      <w:r>
        <w:rPr>
          <w:rFonts w:ascii="Batang" w:cs="Batang" w:eastAsia="Batang" w:hAnsi="Batang"/>
          <w:b w:val="false"/>
          <w:bCs w:val="false"/>
          <w:i w:val="false"/>
          <w:iCs w:val="false"/>
          <w:color w:val="444444"/>
          <w:sz w:val="18"/>
          <w:szCs w:val="18"/>
        </w:rPr>
        <w:t xml:space="preserve">• Vector 전용: F1=0.52 (관련 논문 초록 추출, 개별 사실)</w:t>
      </w:r>
    </w:p>
    <w:p>
      <w:pPr>
        <w:spacing w:after="80" w:before="80" w:line="280"/>
        <w:ind w:left="400" w:right="200"/>
      </w:pPr>
      <w:r>
        <w:rPr>
          <w:rFonts w:ascii="Batang" w:cs="Batang" w:eastAsia="Batang" w:hAnsi="Batang"/>
          <w:b w:val="false"/>
          <w:bCs w:val="false"/>
          <w:i w:val="false"/>
          <w:iCs w:val="false"/>
          <w:color w:val="444444"/>
          <w:sz w:val="18"/>
          <w:szCs w:val="18"/>
        </w:rPr>
        <w:t xml:space="preserve">• R-DWA: (0.21, 0.19, 0.60), F1=0.68 (Conditional 분류, 제약 집중)</w:t>
      </w:r>
    </w:p>
    <w:p>
      <w:pPr>
        <w:spacing w:after="80" w:before="80" w:line="280"/>
        <w:ind w:left="400" w:right="200"/>
      </w:pPr>
      <w:r>
        <w:rPr>
          <w:rFonts w:ascii="Batang" w:cs="Batang" w:eastAsia="Batang" w:hAnsi="Batang"/>
          <w:b w:val="false"/>
          <w:bCs w:val="false"/>
          <w:i w:val="false"/>
          <w:iCs w:val="false"/>
          <w:color w:val="444444"/>
          <w:sz w:val="18"/>
          <w:szCs w:val="18"/>
        </w:rPr>
        <w:t xml:space="preserve">• L-DWA: (0.24, 0.31, 0.45), F1=0.79 (균형, 그래프도 활용)</w:t>
      </w:r>
    </w:p>
    <w:p>
      <w:pPr>
        <w:spacing w:after="80" w:before="80" w:line="280"/>
        <w:ind w:left="400" w:right="200"/>
      </w:pPr>
      <w:r>
        <w:rPr>
          <w:rFonts w:ascii="Batang" w:cs="Batang" w:eastAsia="Batang" w:hAnsi="Batang"/>
          <w:b w:val="false"/>
          <w:bCs w:val="false"/>
          <w:i w:val="false"/>
          <w:iCs w:val="false"/>
          <w:color w:val="444444"/>
          <w:sz w:val="18"/>
          <w:szCs w:val="18"/>
        </w:rPr>
        <w:t xml:space="preserve">→ L-DWA가 "diabetic→cardiovascular" SNOMED 관계 탐색과</w:t>
      </w:r>
    </w:p>
    <w:p>
      <w:pPr>
        <w:spacing w:after="80" w:before="80" w:line="280"/>
        <w:ind w:left="400" w:right="200"/>
      </w:pPr>
      <w:r>
        <w:rPr>
          <w:rFonts w:ascii="Batang" w:cs="Batang" w:eastAsia="Batang" w:hAnsi="Batang"/>
          <w:b w:val="false"/>
          <w:bCs w:val="false"/>
          <w:i w:val="false"/>
          <w:iCs w:val="false"/>
          <w:color w:val="444444"/>
          <w:sz w:val="18"/>
          <w:szCs w:val="18"/>
        </w:rPr>
        <w:t xml:space="preserve">   "over 65" 연령 제약을 동시에 활용하여 R-DWA 대비 +16% 향상</w:t>
      </w:r>
    </w:p>
    <w:p>
      <w:pPr>
        <w:spacing w:after="0" w:line="280"/>
      </w:pPr>
      <w:r>
        <w:rPr>
          <w:rFonts w:ascii="Batang" w:cs="Batang" w:eastAsia="Batang" w:hAnsi="Batang"/>
          <w:b w:val="false"/>
          <w:bCs w:val="false"/>
          <w:i w:val="false"/>
          <w:iCs w:val="false"/>
          <w:sz w:val="20"/>
          <w:szCs w:val="20"/>
        </w:rPr>
        <w:t xml:space="preserve"/>
      </w:r>
    </w:p>
    <w:p>
      <w:pPr>
        <w:spacing w:after="120" w:line="320"/>
        <w:ind w:firstLine="380"/>
      </w:pPr>
      <w:r>
        <w:rPr>
          <w:rFonts w:ascii="Batang" w:cs="Batang" w:eastAsia="Batang" w:hAnsi="Batang"/>
          <w:b w:val="false"/>
          <w:bCs w:val="false"/>
          <w:i w:val="false"/>
          <w:iCs w:val="false"/>
          <w:sz w:val="20"/>
          <w:szCs w:val="20"/>
        </w:rPr>
        <w:t xml:space="preserve">CS-7은 본 연구의 **의료 도메인 일반성**을 구체적으로 보여준다. PubMedQA 질의는 대학 행정과 전혀 다른 도메인이지만, L-DWA는 동일 학습 원리로 **의료 도메인의 복합 추론(diabetic + cardiovascular + age &gt; 65)**을 효과적으로 처리한다. 특히 R-DWA가 Conditional 단일 분류로 인해 SNOMED CT의 그래프 관계("diabetic patients → elevated cardiovascular risk")를 충분히 활용하지 못하는 반면, L-DWA는 β=0.31로 Graph 활용을 늘려 **의료 특유의 인과 체인 추론**을 수행한다. 이는 Ⅵ장 6절의 PubMedQA F1 0.72(MedRAG 대비 +16%) 성능의 메커니즘적 설명이 된다.</w:t>
      </w:r>
    </w:p>
    <w:p>
      <w:pPr>
        <w:pStyle w:val="Heading3"/>
        <w:spacing w:after="140" w:before="240"/>
        <w:ind w:left="300"/>
      </w:pPr>
      <w:r>
        <w:rPr>
          <w:rFonts w:ascii="Batang" w:cs="Batang" w:eastAsia="Batang" w:hAnsi="Batang"/>
          <w:b/>
          <w:bCs/>
          <w:i w:val="false"/>
          <w:iCs w:val="false"/>
          <w:sz w:val="22"/>
          <w:szCs w:val="22"/>
        </w:rPr>
        <w:t xml:space="preserve">다. 7개 Case Study 종합 분석</w:t>
      </w:r>
    </w:p>
    <w:p>
      <w:pPr>
        <w:spacing w:after="160" w:before="80"/>
        <w:jc w:val="center"/>
      </w:pPr>
      <w:r>
        <w:rPr>
          <w:rFonts w:ascii="Batang" w:cs="Batang" w:eastAsia="Batang" w:hAnsi="Batang"/>
          <w:b w:val="false"/>
          <w:bCs w:val="false"/>
          <w:i w:val="false"/>
          <w:iCs w:val="false"/>
          <w:sz w:val="18"/>
          <w:szCs w:val="18"/>
        </w:rPr>
        <w:t xml:space="preserve">[표 6-19] 7개 Case Study 종합 (R-DWA vs L-DWA)</w:t>
      </w:r>
    </w:p>
    <w:tbl>
      <w:tblPr>
        <w:tblW w:type="dxa" w:w="793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200"/>
        <w:gridCol w:w="1700"/>
        <w:gridCol w:w="1700"/>
        <w:gridCol w:w="2339"/>
      </w:tblGrid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0E0E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Batang" w:cs="Batang" w:eastAsia="Batang" w:hAnsi="Batang"/>
                <w:b/>
                <w:bCs/>
                <w:i w:val="false"/>
                <w:iCs w:val="false"/>
                <w:sz w:val="18"/>
                <w:szCs w:val="18"/>
              </w:rPr>
              <w:t xml:space="preserve">CS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0E0E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Batang" w:cs="Batang" w:eastAsia="Batang" w:hAnsi="Batang"/>
                <w:b/>
                <w:bCs/>
                <w:i w:val="false"/>
                <w:iCs w:val="false"/>
                <w:sz w:val="18"/>
                <w:szCs w:val="18"/>
              </w:rPr>
              <w:t xml:space="preserve">질의 유형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0E0E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Batang" w:cs="Batang" w:eastAsia="Batang" w:hAnsi="Batang"/>
                <w:b/>
                <w:bCs/>
                <w:i w:val="false"/>
                <w:iCs w:val="false"/>
                <w:sz w:val="18"/>
                <w:szCs w:val="18"/>
              </w:rPr>
              <w:t xml:space="preserve">R-DWA F1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0E0E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Batang" w:cs="Batang" w:eastAsia="Batang" w:hAnsi="Batang"/>
                <w:b/>
                <w:bCs/>
                <w:i w:val="false"/>
                <w:iCs w:val="false"/>
                <w:sz w:val="18"/>
                <w:szCs w:val="18"/>
              </w:rPr>
              <w:t xml:space="preserve">L-DWA F1</w:t>
            </w:r>
          </w:p>
        </w:tc>
        <w:tc>
          <w:tcPr>
            <w:tcW w:type="dxa" w:w="233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0E0E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Batang" w:cs="Batang" w:eastAsia="Batang" w:hAnsi="Batang"/>
                <w:b/>
                <w:bCs/>
                <w:i w:val="false"/>
                <w:iCs w:val="false"/>
                <w:sz w:val="18"/>
                <w:szCs w:val="18"/>
              </w:rPr>
              <w:t xml:space="preserve">개선폭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Batang" w:cs="Batang" w:eastAsia="Batang" w:hAnsi="Batang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CS-1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Batang" w:cs="Batang" w:eastAsia="Batang" w:hAnsi="Batang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경계선상 (대학)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Batang" w:cs="Batang" w:eastAsia="Batang" w:hAnsi="Batang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0.00 (EM)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Batang" w:cs="Batang" w:eastAsia="Batang" w:hAnsi="Batang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1.00 (EM)</w:t>
            </w:r>
          </w:p>
        </w:tc>
        <w:tc>
          <w:tcPr>
            <w:tcW w:type="dxa" w:w="233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Batang" w:cs="Batang" w:eastAsia="Batang" w:hAnsi="Batang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절대 실패→성공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Batang" w:cs="Batang" w:eastAsia="Batang" w:hAnsi="Batang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CS-2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Batang" w:cs="Batang" w:eastAsia="Batang" w:hAnsi="Batang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복합 제약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Batang" w:cs="Batang" w:eastAsia="Batang" w:hAnsi="Batang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0.50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Batang" w:cs="Batang" w:eastAsia="Batang" w:hAnsi="Batang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1.00</w:t>
            </w:r>
          </w:p>
        </w:tc>
        <w:tc>
          <w:tcPr>
            <w:tcW w:type="dxa" w:w="233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Batang" w:cs="Batang" w:eastAsia="Batang" w:hAnsi="Batang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+100%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Batang" w:cs="Batang" w:eastAsia="Batang" w:hAnsi="Batang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CS-3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Batang" w:cs="Batang" w:eastAsia="Batang" w:hAnsi="Batang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직급 필터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Batang" w:cs="Batang" w:eastAsia="Batang" w:hAnsi="Batang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0.40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Batang" w:cs="Batang" w:eastAsia="Batang" w:hAnsi="Batang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1.00</w:t>
            </w:r>
          </w:p>
        </w:tc>
        <w:tc>
          <w:tcPr>
            <w:tcW w:type="dxa" w:w="233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Batang" w:cs="Batang" w:eastAsia="Batang" w:hAnsi="Batang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+150%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Batang" w:cs="Batang" w:eastAsia="Batang" w:hAnsi="Batang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CS-4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Batang" w:cs="Batang" w:eastAsia="Batang" w:hAnsi="Batang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제약 4중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Batang" w:cs="Batang" w:eastAsia="Batang" w:hAnsi="Batang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0.35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Batang" w:cs="Batang" w:eastAsia="Batang" w:hAnsi="Batang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0.89</w:t>
            </w:r>
          </w:p>
        </w:tc>
        <w:tc>
          <w:tcPr>
            <w:tcW w:type="dxa" w:w="233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Batang" w:cs="Batang" w:eastAsia="Batang" w:hAnsi="Batang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+154%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Batang" w:cs="Batang" w:eastAsia="Batang" w:hAnsi="Batang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CS-5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Batang" w:cs="Batang" w:eastAsia="Batang" w:hAnsi="Batang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HotpotQA Bridge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Batang" w:cs="Batang" w:eastAsia="Batang" w:hAnsi="Batang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0.41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Batang" w:cs="Batang" w:eastAsia="Batang" w:hAnsi="Batang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0.58</w:t>
            </w:r>
          </w:p>
        </w:tc>
        <w:tc>
          <w:tcPr>
            <w:tcW w:type="dxa" w:w="233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Batang" w:cs="Batang" w:eastAsia="Batang" w:hAnsi="Batang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+41%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Batang" w:cs="Batang" w:eastAsia="Batang" w:hAnsi="Batang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CS-6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Batang" w:cs="Batang" w:eastAsia="Batang" w:hAnsi="Batang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4-hop 한계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Batang" w:cs="Batang" w:eastAsia="Batang" w:hAnsi="Batang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0.31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Batang" w:cs="Batang" w:eastAsia="Batang" w:hAnsi="Batang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0.38</w:t>
            </w:r>
          </w:p>
        </w:tc>
        <w:tc>
          <w:tcPr>
            <w:tcW w:type="dxa" w:w="233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Batang" w:cs="Batang" w:eastAsia="Batang" w:hAnsi="Batang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+22% (한계)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Batang" w:cs="Batang" w:eastAsia="Batang" w:hAnsi="Batang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CS-7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Batang" w:cs="Batang" w:eastAsia="Batang" w:hAnsi="Batang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의료 PubMedQA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Batang" w:cs="Batang" w:eastAsia="Batang" w:hAnsi="Batang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0.68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Batang" w:cs="Batang" w:eastAsia="Batang" w:hAnsi="Batang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0.79</w:t>
            </w:r>
          </w:p>
        </w:tc>
        <w:tc>
          <w:tcPr>
            <w:tcW w:type="dxa" w:w="233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Batang" w:cs="Batang" w:eastAsia="Batang" w:hAnsi="Batang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+16%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8E1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Batang" w:cs="Batang" w:eastAsia="Batang" w:hAnsi="Batang"/>
                <w:b/>
                <w:bCs/>
                <w:i w:val="false"/>
                <w:iCs w:val="false"/>
                <w:sz w:val="18"/>
                <w:szCs w:val="18"/>
              </w:rPr>
              <w:t xml:space="preserve">평균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8E1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Batang" w:cs="Batang" w:eastAsia="Batang" w:hAnsi="Batang"/>
                <w:b/>
                <w:bCs/>
                <w:i w:val="false"/>
                <w:iCs w:val="false"/>
                <w:sz w:val="18"/>
                <w:szCs w:val="18"/>
              </w:rPr>
              <w:t xml:space="preserve">(가중 평균)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8E1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Batang" w:cs="Batang" w:eastAsia="Batang" w:hAnsi="Batang"/>
                <w:b/>
                <w:bCs/>
                <w:i w:val="false"/>
                <w:iCs w:val="false"/>
                <w:sz w:val="18"/>
                <w:szCs w:val="18"/>
              </w:rPr>
              <w:t xml:space="preserve">0.40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8E1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Batang" w:cs="Batang" w:eastAsia="Batang" w:hAnsi="Batang"/>
                <w:b/>
                <w:bCs/>
                <w:i w:val="false"/>
                <w:iCs w:val="false"/>
                <w:sz w:val="18"/>
                <w:szCs w:val="18"/>
              </w:rPr>
              <w:t xml:space="preserve">0.80</w:t>
            </w:r>
          </w:p>
        </w:tc>
        <w:tc>
          <w:tcPr>
            <w:tcW w:type="dxa" w:w="233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8E1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Batang" w:cs="Batang" w:eastAsia="Batang" w:hAnsi="Batang"/>
                <w:b/>
                <w:bCs/>
                <w:i w:val="false"/>
                <w:iCs w:val="false"/>
                <w:sz w:val="18"/>
                <w:szCs w:val="18"/>
              </w:rPr>
              <w:t xml:space="preserve">+100%</w:t>
            </w:r>
          </w:p>
        </w:tc>
      </w:tr>
    </w:tbl>
    <w:p>
      <w:pPr>
        <w:spacing w:after="0" w:line="280"/>
      </w:pPr>
      <w:r>
        <w:rPr>
          <w:rFonts w:ascii="Batang" w:cs="Batang" w:eastAsia="Batang" w:hAnsi="Batang"/>
          <w:b w:val="false"/>
          <w:bCs w:val="false"/>
          <w:i w:val="false"/>
          <w:iCs w:val="false"/>
          <w:sz w:val="20"/>
          <w:szCs w:val="20"/>
        </w:rPr>
        <w:t xml:space="preserve"/>
      </w:r>
    </w:p>
    <w:p>
      <w:pPr>
        <w:spacing w:after="120" w:line="320"/>
        <w:ind w:firstLine="380"/>
      </w:pPr>
      <w:r>
        <w:rPr>
          <w:rFonts w:ascii="Batang" w:cs="Batang" w:eastAsia="Batang" w:hAnsi="Batang"/>
          <w:b w:val="false"/>
          <w:bCs w:val="false"/>
          <w:i w:val="false"/>
          <w:iCs w:val="false"/>
          <w:sz w:val="20"/>
          <w:szCs w:val="20"/>
        </w:rPr>
        <w:t xml:space="preserve">7개 Case Study의 종합 결과는 L-DWA의 우위를 정량화한다. **평균 F1 0.40 → 0.80의 두 배 향상**이며, 특히 경계선상 질의(CS-1~CS-4)에서 개선폭이 크다. CS-6의 4-hop 한계 사례에서도 L-DWA가 R-DWA 대비 +22% 개선을 달성하는 점은, 본 연구의 접근이 **구조적 한계 영역에서도 상대적 우위**를 가짐을 보여준다.</w:t>
      </w:r>
    </w:p>
    <w:p>
      <w:pPr>
        <w:pStyle w:val="Heading2"/>
        <w:spacing w:after="180" w:before="360"/>
      </w:pPr>
      <w:r>
        <w:rPr>
          <w:rFonts w:ascii="Batang" w:cs="Batang" w:eastAsia="Batang" w:hAnsi="Batang"/>
          <w:b/>
          <w:bCs/>
          <w:i w:val="false"/>
          <w:iCs w:val="false"/>
          <w:sz w:val="24"/>
          <w:szCs w:val="24"/>
        </w:rPr>
        <w:t xml:space="preserve">13. 장 최종 요약 (v3 확장 반영)</w:t>
      </w:r>
    </w:p>
    <w:p>
      <w:pPr>
        <w:spacing w:after="120" w:line="320"/>
        <w:ind w:firstLine="380"/>
      </w:pPr>
      <w:r>
        <w:rPr>
          <w:rFonts w:ascii="Batang" w:cs="Batang" w:eastAsia="Batang" w:hAnsi="Batang"/>
          <w:b w:val="false"/>
          <w:bCs w:val="false"/>
          <w:i w:val="false"/>
          <w:iCs w:val="false"/>
          <w:sz w:val="20"/>
          <w:szCs w:val="20"/>
        </w:rPr>
        <w:t xml:space="preserve">본 Ⅵ장은 PPO 기반 L-DWA의 성능을 네 가지 이질적 벤치마크(합성 대학 행정, HotpotQA, MuSiQue, PubMedQA)에서 실증하고, 세 가지 소거 실험과 **하이퍼파라미터 민감도 분석**으로 각 구성요소의 기여도와 설정 견고성을 정량화하였다. 주요 성과는 다섯 가지로 요약된다.</w:t>
      </w:r>
    </w:p>
    <w:p>
      <w:pPr>
        <w:spacing w:after="120" w:line="320"/>
        <w:ind w:firstLine="380"/>
      </w:pPr>
      <w:r>
        <w:rPr>
          <w:rFonts w:ascii="Batang" w:cs="Batang" w:eastAsia="Batang" w:hAnsi="Batang"/>
          <w:b w:val="false"/>
          <w:bCs w:val="false"/>
          <w:i w:val="false"/>
          <w:iCs w:val="false"/>
          <w:sz w:val="20"/>
          <w:szCs w:val="20"/>
        </w:rPr>
        <w:t xml:space="preserve">첫째, **정량적 우위**. L-DWA는 R-DWA 대비 F1 +3.5%, 특히 Boundary 질의 EM +32.8%의 유의미한 개선을 달성하였으며, 의료 RAG SOTA인 MedRAG를 PubMedQA에서 F1 +16.1%로 능가한다. 둘째, **구성요소 기여도 증명**. Ablation (A)→(B)→(C)→(D)의 단조 증가(+3.7% → +2.8% → +3.9% F1)와 BERT 멀티 레이블 Intent의 경계선상 EM +0.13 개선이 각 구성요소의 독립적 유효성을 입증한다. 셋째, **실용적 기여 정량화**. 오프라인 캐싱이 비용을 $100 → $15로(-85%), 시간을 50시간 → 1시간으로(-98%) 절감하여 강화학습 기반 RAG 연구의 진입 장벽을 근본적으로 낮춘다. 넷째, **도메인 일반화**. 대학 행정과 의료·제약이라는 이질적 도메인에서 동일 학습 원리가 각 도메인 특성을 자동으로 반영하며, 7개 Case Study가 L-DWA의 적응 메커니즘을 정성적으로 입증한다. 다섯째, **하이퍼파라미터 견고성**. 본 연구의 설정이 PPO 표준값에 근간하여 ±50% 범위 변동에서 F1 변화 0.02 이내로 견고하며, 실무 적용 시 광범위한 튜닝 없이 활용 가능하다.</w:t>
      </w:r>
    </w:p>
    <w:p>
      <w:pPr>
        <w:spacing w:after="120" w:line="320"/>
        <w:ind w:firstLine="380"/>
      </w:pPr>
      <w:r>
        <w:rPr>
          <w:rFonts w:ascii="Batang" w:cs="Batang" w:eastAsia="Batang" w:hAnsi="Batang"/>
          <w:b w:val="false"/>
          <w:bCs w:val="false"/>
          <w:i w:val="false"/>
          <w:iCs w:val="false"/>
          <w:sz w:val="20"/>
          <w:szCs w:val="20"/>
        </w:rPr>
        <w:t xml:space="preserve">종합적으로, 본 장의 실험 결과는 박사학위 논문의 다섯 가지 학술적 기여 — (1) MDP 형식화, (2) PPO 기반 L-DWA, (3) R-DWA vs L-DWA 정량 비교, (4) BERT 멀티 레이블 Intent Classifier, (5) 다중 벤치마크 일반화 — 를 **모든 측면에서 실증적으로 뒷받침**한다. 아울러 CS-6의 한계 사례를 투명히 드러냄으로써 본 연구의 후속 과제(BFS 깊이 동적 조정, 대규모 도메인 온톨로지 자동 구축)가 구체적으로 어떤 영역에 위치하는지를 명확히 하였다. 다음 Ⅶ장에서는 이러한 성과를 바탕으로 본 연구의 중장기 연구 로드맵을 제시한다.</w:t>
      </w:r>
    </w:p>
    <w:sectPr>
      <w:headerReference w:type="default" r:id="rId7"/>
      <w:footerReference w:type="default" r:id="rId8"/>
      <w:pgSz w:w="10773" w:h="14742" w:orient="portrait"/>
      <w:pgMar w:top="1418" w:right="1418" w:bottom="1418" w:left="1418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Batang" w:cs="Batang" w:eastAsia="Batang" w:hAnsi="Batang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Batang" w:cs="Batang" w:eastAsia="Batang" w:hAnsi="Batang"/>
        <w:b w:val="false"/>
        <w:bCs w:val="false"/>
        <w:i w:val="false"/>
        <w:iCs w:val="false"/>
        <w:color w:val="666666"/>
        <w:sz w:val="16"/>
        <w:szCs w:val="16"/>
      </w:rPr>
      <w:t xml:space="preserve">Ⅵ. 실험 및 평가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Batang" w:cs="Batang" w:eastAsia="Batang" w:hAnsi="Batang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80" w:before="560"/>
      <w:outlineLvl w:val="0"/>
    </w:pPr>
    <w:rPr>
      <w:rFonts w:ascii="Batang" w:cs="Batang" w:eastAsia="Batang" w:hAnsi="Batang"/>
      <w:b/>
      <w:bCs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80" w:before="360"/>
      <w:outlineLvl w:val="1"/>
    </w:pPr>
    <w:rPr>
      <w:rFonts w:ascii="Batang" w:cs="Batang" w:eastAsia="Batang" w:hAnsi="Batang"/>
      <w:b/>
      <w:bCs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140" w:before="240"/>
      <w:outlineLvl w:val="2"/>
    </w:pPr>
    <w:rPr>
      <w:rFonts w:ascii="Batang" w:cs="Batang" w:eastAsia="Batang" w:hAnsi="Batang"/>
      <w:b/>
      <w:b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2026-04-18T09:30:05.389Z</dcterms:created>
  <dcterms:modified xsi:type="dcterms:W3CDTF">2026-04-18T09:30:05.390Z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