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sz w:val="28"/>
          <w:szCs w:val="28"/>
        </w:rPr>
        <w:t xml:space="preserve">Ⅶ. 결  론</w:t>
      </w:r>
    </w:p>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본 박사학위 논문은 Vector, Graph, Ontology의 세 이질적 지식 소스를 통합한 Triple-Hybrid RAG 프레임워크의 가중치 결정을 강화학습 문제로 형식화하고, 근위 정책 최적화(PPO) 알고리즘을 통해 최적 정책을 학습하는 새로운 방법론을 제시하였다. 본 장에서는 1절에서 연구 성과를 기존 기술 대비 우위의 관점에서 요약하고, 2절에서 연구의 한계를 솔직하게 기술하며, 3절에서 본 연구 성과를 기반으로 한 중장기 연구 로드맵(2026~2036)과 **대형 국책 R&amp;D 과제 및 산학 협력의 구체적 실행 계획**을 제시한다.</w:t>
      </w:r>
    </w:p>
    <w:p>
      <w:pPr>
        <w:pStyle w:val="Heading2"/>
        <w:spacing w:after="180" w:before="360"/>
      </w:pPr>
      <w:r>
        <w:rPr>
          <w:rFonts w:ascii="Batang" w:cs="Batang" w:eastAsia="Batang" w:hAnsi="Batang"/>
          <w:b/>
          <w:bCs/>
          <w:sz w:val="24"/>
          <w:szCs w:val="24"/>
        </w:rPr>
        <w:t xml:space="preserve">1. 연구 성과 요약: 기존 기술 대비 우위</w:t>
      </w:r>
    </w:p>
    <w:p>
      <w:pPr>
        <w:spacing w:after="120" w:line="320"/>
        <w:ind w:firstLine="380"/>
      </w:pPr>
      <w:r>
        <w:rPr>
          <w:rFonts w:ascii="Batang" w:cs="Batang" w:eastAsia="Batang" w:hAnsi="Batang"/>
          <w:b w:val="false"/>
          <w:bCs w:val="false"/>
          <w:sz w:val="20"/>
          <w:szCs w:val="20"/>
        </w:rPr>
        <w:t xml:space="preserve">본 연구의 성과는 단순한 기술 개선이 아니라, RAG 시스템의 가중치 결정 방법론에서 **질적 전환(qualitative transition)**을 이끌었다. 본 절에서는 학술적 기여, 정량적 우위, 실용적 가치의 세 축으로 구분하여 우위를 정리한다.</w:t>
      </w:r>
    </w:p>
    <w:p>
      <w:pPr>
        <w:pStyle w:val="Heading3"/>
        <w:spacing w:after="140" w:before="240"/>
        <w:ind w:left="300"/>
      </w:pPr>
      <w:r>
        <w:rPr>
          <w:rFonts w:ascii="Batang" w:cs="Batang" w:eastAsia="Batang" w:hAnsi="Batang"/>
          <w:b/>
          <w:bCs/>
          <w:sz w:val="22"/>
          <w:szCs w:val="22"/>
        </w:rPr>
        <w:t xml:space="preserve">가. 학술적 기여</w:t>
      </w:r>
    </w:p>
    <w:p>
      <w:pPr>
        <w:spacing w:after="160" w:before="80"/>
        <w:jc w:val="center"/>
      </w:pPr>
      <w:r>
        <w:rPr>
          <w:rFonts w:ascii="Batang" w:cs="Batang" w:eastAsia="Batang" w:hAnsi="Batang"/>
          <w:b w:val="false"/>
          <w:bCs w:val="false"/>
          <w:sz w:val="18"/>
          <w:szCs w:val="18"/>
        </w:rPr>
        <w:t xml:space="preserve">[표 7-1] 본 연구의 다섯 가지 학술적 기여와 검증 결과</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600"/>
        <w:gridCol w:w="2139"/>
      </w:tblGrid>
      <w:tr>
        <w:tc>
          <w:tcPr>
            <w:tcW w:type="dxa" w:w="7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w:t>
            </w:r>
          </w:p>
        </w:tc>
        <w:tc>
          <w:tcPr>
            <w:tcW w:type="dxa" w:w="2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학술적 기여</w:t>
            </w:r>
          </w:p>
        </w:tc>
        <w:tc>
          <w:tcPr>
            <w:tcW w:type="dxa" w:w="2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구체적 성과</w:t>
            </w:r>
          </w:p>
        </w:tc>
        <w:tc>
          <w:tcPr>
            <w:tcW w:type="dxa" w:w="2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검증</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RAG 가중치 결정의 MDP 형식화 (최초)</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18차원 상태, 3차원 Dirichlet 행동, 복합 보상의 contextual bandit MDP 정립</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1절</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학습형 DWA (L-DWA) 제안</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Actor-Critic 경량 정책(~6,000 파라미터) + Dirichlet 분포 기반 simplex 학습</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2~3절</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규칙 vs 학습 기반 DWA 정량 비교</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F1 +3.5%, Boundary EM +32.8% 추가 개선의 정량적 규명</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Ⅵ장 3·7절</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경계선상 질의를 위한 BERT 멀티 레이블 Intent Classifier</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단일 레이블 분류의 구조적 한계를 확률적 공동 활성으로 해소</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Ⅵ장 7절</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N-소스 일반화의 수학적 프레임워크</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Dirichlet(3) → Dirichlet(N) 확장의 이론적 정립 및 수렴 보장</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6절</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이 다섯 가지 기여는 **서로 독립적이면서 상호 보완**한다. MDP 형식화(1)는 PPO 기반 접근(2)의 기반이며, BERT Intent Classifier(4)는 L-DWA의 상태 표현을 강화하고, R-DWA vs L-DWA 비교(3)는 학습 기반 접근의 정당성을 실증한다. N-소스 일반화(5)는 본 연구의 기여를 Triple을 넘어 후속 연구로 확장하는 이론적 교량이다.</w:t>
      </w:r>
    </w:p>
    <w:p>
      <w:pPr>
        <w:pStyle w:val="Heading3"/>
        <w:spacing w:after="140" w:before="240"/>
        <w:ind w:left="300"/>
      </w:pPr>
      <w:r>
        <w:rPr>
          <w:rFonts w:ascii="Batang" w:cs="Batang" w:eastAsia="Batang" w:hAnsi="Batang"/>
          <w:b/>
          <w:bCs/>
          <w:sz w:val="22"/>
          <w:szCs w:val="22"/>
        </w:rPr>
        <w:t xml:space="preserve">나. 정량적 성능 우위</w:t>
      </w:r>
    </w:p>
    <w:p>
      <w:pPr>
        <w:spacing w:after="160" w:before="80"/>
        <w:jc w:val="center"/>
      </w:pPr>
      <w:r>
        <w:rPr>
          <w:rFonts w:ascii="Batang" w:cs="Batang" w:eastAsia="Batang" w:hAnsi="Batang"/>
          <w:b w:val="false"/>
          <w:bCs w:val="false"/>
          <w:sz w:val="18"/>
          <w:szCs w:val="18"/>
        </w:rPr>
        <w:t xml:space="preserve">[표 7-2] 본 연구의 정량적 우위 (주요 벤치마크 종합)</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139"/>
        <w:gridCol w:w="1839"/>
      </w:tblGrid>
      <w:tr>
        <w:tc>
          <w:tcPr>
            <w:tcW w:type="dxa" w:w="21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벤치마크</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기존 SOTA</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R-DWA</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L-DWA</w:t>
            </w:r>
          </w:p>
        </w:tc>
        <w:tc>
          <w:tcPr>
            <w:tcW w:type="dxa" w:w="1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개선</w:t>
            </w:r>
          </w:p>
        </w:tc>
        <w:tc>
          <w:tcPr>
            <w:tcW w:type="dxa" w:w="18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의의</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합성 대학 행정</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0.81 (HybridRAG)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0.86</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0.89 ±0.01</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+9.9%</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도메인 전문성</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HotpotQA Hard</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0.33 (Vector)</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0.41</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0.44 ±0.02</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+33%</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일반 QA</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MuSiQue</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0.24 (Vector)</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0.33</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0.36 ±0.02</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+50%</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복합 멀티홉</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PubMedQA (의료)</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0.62 (MedRAG)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0.68</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0.72 ±0.02</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+16%</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의료 전문성</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Boundary 질의</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N/A</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0.61 EM</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0.81 EM</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+33%</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새 범주 해결</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[표 7-2]에서 특히 주목할 점은 **네 가지 벤치마크 모두에서 기존 SOTA를 능가**한다는 것이다. 합성 대학 행정(전문 도메인)의 HybridRAG 대비 +9.9%, HotpotQA(일반 QA)의 Vector RAG 대비 +33%, MuSiQue(복합 멀티홉)의 Vector RAG 대비 +50%, 그리고 **의료 RAG SOTA인 MedRAG를 PubMedQA에서 +16% 능가**하는 것은 본 프레임워크의 **범용적 우위**를 실증한다. 특히 경계선상 질의에서의 +33% EM 개선은 기존 어떤 RAG 연구도 해결하지 못한 새로운 범주에 대한 성과이다.</w:t>
      </w:r>
    </w:p>
    <w:p>
      <w:pPr>
        <w:pStyle w:val="Heading3"/>
        <w:spacing w:after="140" w:before="240"/>
        <w:ind w:left="300"/>
      </w:pPr>
      <w:r>
        <w:rPr>
          <w:rFonts w:ascii="Batang" w:cs="Batang" w:eastAsia="Batang" w:hAnsi="Batang"/>
          <w:b/>
          <w:bCs/>
          <w:sz w:val="22"/>
          <w:szCs w:val="22"/>
        </w:rPr>
        <w:t xml:space="preserve">다. 실용적 가치</w:t>
      </w:r>
    </w:p>
    <w:p>
      <w:pPr>
        <w:spacing w:after="160" w:before="80"/>
        <w:jc w:val="center"/>
      </w:pPr>
      <w:r>
        <w:rPr>
          <w:rFonts w:ascii="Batang" w:cs="Batang" w:eastAsia="Batang" w:hAnsi="Batang"/>
          <w:b w:val="false"/>
          <w:bCs w:val="false"/>
          <w:sz w:val="18"/>
          <w:szCs w:val="18"/>
        </w:rPr>
        <w:t xml:space="preserve">[표 7-3] 본 연구의 실용적 기여 (비용·시간·품질)</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39"/>
        <w:gridCol w:w="1139"/>
      </w:tblGrid>
      <w:tr>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항목</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기존 방식</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본 연구</w:t>
            </w:r>
          </w:p>
        </w:tc>
        <w:tc>
          <w:tcPr>
            <w:tcW w:type="dxa" w:w="16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개선</w:t>
            </w:r>
          </w:p>
        </w:tc>
        <w:tc>
          <w:tcPr>
            <w:tcW w:type="dxa" w:w="1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영향</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LLM 학습 비용</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$100 (실시간 호출)</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$15 (오프라인 캐싱)</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-85%</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진입 장벽</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학습 시간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50시간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1시간</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-98%</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반복 실험</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경계선상 정확도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EM 0.61 (R-DWA)</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EM 0.81 (L-DWA)</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+33%</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서비스 품질</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도메인 이전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재설계 필요</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Zero-shot 가능</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질적 변화</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범용성</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정책 해석</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블랙박스</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가중치 분포 분석</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질적 변화</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신뢰도</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재현성</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불완전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오픈소스 + 캐시</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질적 변화</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후속 연구</w:t>
            </w:r>
          </w:p>
        </w:tc>
      </w:tr>
    </w:tbl>
    <w:p>
      <w:pPr>
        <w:spacing w:after="0" w:line="280"/>
      </w:pPr>
      <w:r>
        <w:rPr>
          <w:rFonts w:ascii="Batang" w:cs="Batang" w:eastAsia="Batang" w:hAnsi="Batang"/>
          <w:b w:val="false"/>
          <w:bCs w:val="false"/>
          <w:sz w:val="20"/>
          <w:szCs w:val="20"/>
        </w:rPr>
        <w:t xml:space="preserve"/>
      </w:r>
    </w:p>
    <w:p>
      <w:r>
        <w:br w:type="page"/>
      </w:r>
    </w:p>
    <w:p>
      <w:pPr>
        <w:pStyle w:val="Heading2"/>
        <w:spacing w:after="180" w:before="360"/>
      </w:pPr>
      <w:r>
        <w:rPr>
          <w:rFonts w:ascii="Batang" w:cs="Batang" w:eastAsia="Batang" w:hAnsi="Batang"/>
          <w:b/>
          <w:bCs/>
          <w:sz w:val="24"/>
          <w:szCs w:val="24"/>
        </w:rPr>
        <w:t xml:space="preserve">2. 연구의 한계</w:t>
      </w:r>
    </w:p>
    <w:p>
      <w:pPr>
        <w:spacing w:after="120" w:line="320"/>
        <w:ind w:firstLine="380"/>
      </w:pPr>
      <w:r>
        <w:rPr>
          <w:rFonts w:ascii="Batang" w:cs="Batang" w:eastAsia="Batang" w:hAnsi="Batang"/>
          <w:b w:val="false"/>
          <w:bCs w:val="false"/>
          <w:sz w:val="20"/>
          <w:szCs w:val="20"/>
        </w:rPr>
        <w:t xml:space="preserve">본 연구는 다음과 같은 한계를 가진다. 첫째, **지식 그래프와 온톨로지의 자동 구축**이 본 연구의 범위에서 제외되었다. 대학 행정 도메인에서는 합성 데이터를, PubMedQA 검증에서는 SNOMED CT의 기존 구조를 활용하였다. 비정형 텍스트로부터의 End-to-end 자동 구축은 실무 적용 시 핵심 과제이며, 본 연구의 최우선 후속 연구 주제이다. 둘째, **가중치 공간의 이산화**(0.1 단위)에서 오는 미세한 최적성 손실이 존재한다. 실험 결과 F1 기준 0.001의 손실에 그쳤으나, 고정밀 응용(의료, 법률)에서는 이 손실 완화가 필요할 수 있다. 셋째, **보상 설계가 자동 지표(F1, EM, Faithfulness)에 주로 의존**한다. 인간 평가를 일부 표본에 대해 수행하였으나, 대규모 인간 평가는 비용 제약으로 수행하지 못하였다. RLHF 스타일의 인간 피드백 통합은 후속 과제로 남겨졌다.</w:t>
      </w:r>
    </w:p>
    <w:p>
      <w:pPr>
        <w:spacing w:after="120" w:line="320"/>
        <w:ind w:firstLine="380"/>
      </w:pPr>
      <w:r>
        <w:rPr>
          <w:rFonts w:ascii="Batang" w:cs="Batang" w:eastAsia="Batang" w:hAnsi="Batang"/>
          <w:b w:val="false"/>
          <w:bCs w:val="false"/>
          <w:sz w:val="20"/>
          <w:szCs w:val="20"/>
        </w:rPr>
        <w:t xml:space="preserve">넷째, **멀티모달 확장(Vision, Audio)은 이론적 일반화로만 다루어졌다**. Quadruple-Hybrid 이상의 실증은 본 박사학위 논문 이후의 후속 연구 및 대형 R&amp;D 과제에서 수행된다. 다섯째, **대규모 서비스 배포 시나리오**(수백만 질의, 다중 GPU 분산 환경)에서의 확장성은 이론적 복잡도 분석으로만 논의되었다. 여섯째, **한국어·영어 외 언어 및 법률·금융 등 추가 도메인**에서의 일반화는 검증하지 못하였다. 또한 Ⅵ장 12절 CS-6에서 드러난 바와 같이, **BFS 3-hop 제한으로 인해 4-hop 이상의 매우 복잡한 멀티홉 질의에서는 본 프레임워크의 성능이 제한**된다. 이러한 한계들은 본 연구의 성과를 무효화하는 것이 아닌, **후속 연구의 구체적 출발점**을 제공하는 건설적 이정표이다.</w:t>
      </w:r>
    </w:p>
    <w:p>
      <w:r>
        <w:br w:type="page"/>
      </w:r>
    </w:p>
    <w:p>
      <w:pPr>
        <w:pStyle w:val="Heading2"/>
        <w:spacing w:after="180" w:before="360"/>
      </w:pPr>
      <w:r>
        <w:rPr>
          <w:rFonts w:ascii="Batang" w:cs="Batang" w:eastAsia="Batang" w:hAnsi="Batang"/>
          <w:b/>
          <w:bCs/>
          <w:sz w:val="24"/>
          <w:szCs w:val="24"/>
        </w:rPr>
        <w:t xml:space="preserve">3. 중장기 연구 로드맵 (2026~2036)</w:t>
      </w:r>
    </w:p>
    <w:p>
      <w:pPr>
        <w:spacing w:after="120" w:line="320"/>
        <w:ind w:firstLine="380"/>
      </w:pPr>
      <w:r>
        <w:rPr>
          <w:rFonts w:ascii="Batang" w:cs="Batang" w:eastAsia="Batang" w:hAnsi="Batang"/>
          <w:b w:val="false"/>
          <w:bCs w:val="false"/>
          <w:sz w:val="20"/>
          <w:szCs w:val="20"/>
        </w:rPr>
        <w:t xml:space="preserve">본 박사학위 논문의 성과는 독립적 학술 기여를 넘어, 저자가 향후 10년간 추진할 중장기 연구 프로그램의 핵심 기반이 된다. 본 절에서는 5단계 연구 계획, 대형 국책 R&amp;D 과제 연계, 산학 협력 연구, 장기 연구 비전, 그리고 **기술이전 및 상용화 플랜**을 순차적으로 제시한다.</w:t>
      </w:r>
    </w:p>
    <w:p>
      <w:pPr>
        <w:pStyle w:val="Heading3"/>
        <w:spacing w:after="140" w:before="240"/>
        <w:ind w:left="300"/>
      </w:pPr>
      <w:r>
        <w:rPr>
          <w:rFonts w:ascii="Batang" w:cs="Batang" w:eastAsia="Batang" w:hAnsi="Batang"/>
          <w:b/>
          <w:bCs/>
          <w:sz w:val="22"/>
          <w:szCs w:val="22"/>
        </w:rPr>
        <w:t xml:space="preserve">가. 단계별 연구 계획과 세부 과제</w:t>
      </w:r>
    </w:p>
    <w:p>
      <w:pPr>
        <w:spacing w:after="160" w:before="80"/>
        <w:jc w:val="center"/>
      </w:pPr>
      <w:r>
        <w:rPr>
          <w:rFonts w:ascii="Batang" w:cs="Batang" w:eastAsia="Batang" w:hAnsi="Batang"/>
          <w:b w:val="false"/>
          <w:bCs w:val="false"/>
          <w:sz w:val="18"/>
          <w:szCs w:val="18"/>
        </w:rPr>
        <w:t xml:space="preserve">[표 7-4] 중장기 연구 로드맵 (2026~2036) 단계 개요</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2539"/>
      </w:tblGrid>
      <w:tr>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단계</w:t>
            </w:r>
          </w:p>
        </w:tc>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기간</w:t>
            </w:r>
          </w:p>
        </w:tc>
        <w:tc>
          <w:tcPr>
            <w:tcW w:type="dxa" w:w="3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핵심 과제</w:t>
            </w:r>
          </w:p>
        </w:tc>
        <w:tc>
          <w:tcPr>
            <w:tcW w:type="dxa" w:w="2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기대 성과</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2026~2027</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도메인 온톨로지 자동 구축, 본 프레임워크의 도메인 특화 이식</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SCI 국제 학술지 1편</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2027~2028</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Vision 소스 통합, Quadruple-Hybrid 아키텍처 실증</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SCI 국제 학술지 1편</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2028~2030</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4차원 L-DWA, 실시간 스트리밍 최적화</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R&amp;D 과제 중간 성과, SCI 2편</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2030~2031</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실사용 시스템 배포, 기술이전</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R&amp;D 최종 성과, 상용화</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2031~2036</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Quintuple-Hybrid(Audio, IoT), Cross-domain 메타 학습</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범용 AI 아키텍처, 국제 협력</w:t>
            </w:r>
          </w:p>
        </w:tc>
      </w:tr>
    </w:tbl>
    <w:p>
      <w:pPr>
        <w:spacing w:after="0" w:line="280"/>
      </w:pPr>
      <w:r>
        <w:rPr>
          <w:rFonts w:ascii="Batang" w:cs="Batang" w:eastAsia="Batang" w:hAnsi="Batang"/>
          <w:b w:val="false"/>
          <w:bCs w:val="false"/>
          <w:sz w:val="20"/>
          <w:szCs w:val="20"/>
        </w:rPr>
        <w:t xml:space="preserve"/>
      </w:r>
    </w:p>
    <w:p>
      <w:pPr>
        <w:spacing w:after="160" w:before="80"/>
        <w:jc w:val="center"/>
      </w:pPr>
      <w:r>
        <w:rPr>
          <w:rFonts w:ascii="Batang" w:cs="Batang" w:eastAsia="Batang" w:hAnsi="Batang"/>
          <w:b w:val="false"/>
          <w:bCs w:val="false"/>
          <w:sz w:val="18"/>
          <w:szCs w:val="18"/>
        </w:rPr>
        <w:t xml:space="preserve">[표 7-5] 5단계 로드맵 세부 연구 과제</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539"/>
      </w:tblGrid>
      <w:tr>
        <w:tc>
          <w:tcPr>
            <w:tcW w:type="dxa" w:w="1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단계</w:t>
            </w:r>
          </w:p>
        </w:tc>
        <w:tc>
          <w:tcPr>
            <w:tcW w:type="dxa" w:w="3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세부 연구 과제</w:t>
            </w:r>
          </w:p>
        </w:tc>
        <w:tc>
          <w:tcPr>
            <w:tcW w:type="dxa" w:w="3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필요 자원 및 연관 프로그램</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1단계
2026~2027</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비정형 텍스트 → 도메인 온톨로지 자동 구축 파이프라인
② LLM 기반 개체/관계 추출 정밀도 향상 (목표 F1 0.85+)
③ 본 논문의 합성 평가를 실제 도메인 데이터로 확장</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RTX 4090 단일 GPU, 산학 협력 데이터 활용, 박사후 연구원 1명</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2단계
2027~2028</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ViT 기반 Vision Encoder를 4번째 소스로 통합
② Quadruple-Hybrid 아키텍처 구현 및 영상 QA 벤치마크 검증
③ N=3 → N=4 MDP 확장의 이론 정합성 실증</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A100 GPU 2대급 자원, 의료 영상 또는 제약 이미지 데이터</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3단계
2028~2030</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PPO 4차원 L-DWA 학습 (Dirichlet(4))
② 실시간 스트리밍 환경 지연 최적화 (100ms 목표)
③ 분산 학습 인프라 구축 (다중 GPU)</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대형 국책 R&amp;D 과제 중간 성과, 분산 클러스터</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4단계
2030~2031</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실사용 시스템 베타 배포 및 A/B 테스트
② 산학 협력 기업으로의 기술이전 (라이선싱 또는 공동 개발)
③ 장애 복구 및 보안 검증</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R&amp;D 과제 최종 성과, 기술이전 계약</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5단계
2031~2036</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Audio(Wav2Vec), IoT 센서 통합 Quintuple-Hybrid
② Cross-domain 메타 학습 (MAML 기반, 도메인 적응 속도 극대화)
③ 온라인 강화학습 (실시간 사용자 피드백 기반 정책 개선)
④ 국제 공동연구 협력 네트워크 구축</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국제 협력 그랜트, 국내외 대학/연구소 네트워크</w:t>
            </w:r>
          </w:p>
        </w:tc>
      </w:tr>
    </w:tbl>
    <w:p>
      <w:pPr>
        <w:spacing w:after="0" w:line="280"/>
      </w:pPr>
      <w:r>
        <w:rPr>
          <w:rFonts w:ascii="Batang" w:cs="Batang" w:eastAsia="Batang" w:hAnsi="Batang"/>
          <w:b w:val="false"/>
          <w:bCs w:val="false"/>
          <w:sz w:val="20"/>
          <w:szCs w:val="20"/>
        </w:rPr>
        <w:t xml:space="preserve"/>
      </w:r>
    </w:p>
    <w:p>
      <w:r>
        <w:br w:type="page"/>
      </w:r>
    </w:p>
    <w:p>
      <w:pPr>
        <w:pStyle w:val="Heading3"/>
        <w:spacing w:after="140" w:before="240"/>
        <w:ind w:left="300"/>
      </w:pPr>
      <w:r>
        <w:rPr>
          <w:rFonts w:ascii="Batang" w:cs="Batang" w:eastAsia="Batang" w:hAnsi="Batang"/>
          <w:b/>
          <w:bCs/>
          <w:sz w:val="22"/>
          <w:szCs w:val="22"/>
        </w:rPr>
        <w:t xml:space="preserve">나. 대형 국책 R&amp;D 과제와의 연계</w:t>
      </w:r>
    </w:p>
    <w:p>
      <w:pPr>
        <w:spacing w:after="120" w:line="320"/>
        <w:ind w:firstLine="380"/>
      </w:pPr>
      <w:r>
        <w:rPr>
          <w:rFonts w:ascii="Batang" w:cs="Batang" w:eastAsia="Batang" w:hAnsi="Batang"/>
          <w:b w:val="false"/>
          <w:bCs w:val="false"/>
          <w:sz w:val="20"/>
          <w:szCs w:val="20"/>
        </w:rPr>
        <w:t xml:space="preserve">저자는 2026년 5월부터 2031년 4월까지 5년간 수행될 **대형 국책 R&amp;D 과제**의 연구책임자(PM) 자격으로 참여할 예정이다. 이 과제는 본 박사학위 논문의 핵심 성과를 실제 응용 분야로 확장하는 것을 목표로 하며, 기술적 목표는 세 가지이다. 첫째, ViT(Vision Transformer) 기반 영상 인코더를 4번째 지식 소스로 통합하여 **실시간 시각 정보 처리**를 지원한다. 둘째, 본 논문에서 이론적으로 정립한 N-소스 MDP 일반화를 **Dirichlet(4) 분포 기반 학습으로 실증**한다. 셋째, 대규모 서비스 환경에서의 분산 학습 및 실시간 추론 최적화를 연구한다.</w:t>
      </w:r>
    </w:p>
    <w:p>
      <w:pPr>
        <w:spacing w:after="120" w:line="320"/>
        <w:ind w:firstLine="380"/>
      </w:pPr>
      <w:r>
        <w:rPr>
          <w:rFonts w:ascii="Batang" w:cs="Batang" w:eastAsia="Batang" w:hAnsi="Batang"/>
          <w:b w:val="false"/>
          <w:bCs w:val="false"/>
          <w:sz w:val="20"/>
          <w:szCs w:val="20"/>
        </w:rPr>
        <w:t xml:space="preserve">과제 수행 구조는 다음 세 층으로 구성된다. 첫째, **원천 연구층**에서 본 박사학위 논문의 이론적 기여(MDP, PPO, N-소스 일반화)를 4차원으로 확장한다(2026~2028). 둘째, **응용 개발층**에서 본 프레임워크를 특정 응용 시스템으로 구현하고 실증한다(2028~2030). 셋째, **실증 배포층**에서 베타 사용자 대상 A/B 테스트와 성능 검증을 수행한다(2030~2031). 연구책임자로서 저자의 역할은 세 층 간의 기술적 정합성 유지와 학술적 성과 확보이며, 이 과정에서 본 박사학위 논문의 MDP 형식화가 모든 응용의 공통 이론 기반으로 활용된다.</w:t>
      </w:r>
    </w:p>
    <w:p>
      <w:pPr>
        <w:spacing w:after="120" w:line="320"/>
        <w:ind w:firstLine="380"/>
      </w:pPr>
      <w:r>
        <w:rPr>
          <w:rFonts w:ascii="Batang" w:cs="Batang" w:eastAsia="Batang" w:hAnsi="Batang"/>
          <w:b w:val="false"/>
          <w:bCs w:val="false"/>
          <w:sz w:val="20"/>
          <w:szCs w:val="20"/>
        </w:rPr>
        <w:t xml:space="preserve">본 박사학위 논문의 Ⅴ장 6절에서 제시한 N-소스 일반화가 이 과제에서 실증되면, 본 연구는 학술적 원천 연구로서의 가치를 넘어 **국가 기술 경쟁력에 기여하는 응용 기술의 이론적 기반**으로 자리매김할 것이다. 아울러 과제 수행을 통해 확보되는 대규모 실데이터와 현장 운영 경험은, 본 연구에서 제기된 한계들(자동 구축, 온라인 학습, 대규모 확장성)을 체계적으로 해소하는 후속 연구의 토대가 된다.</w:t>
      </w:r>
    </w:p>
    <w:p>
      <w:pPr>
        <w:pStyle w:val="Heading3"/>
        <w:spacing w:after="140" w:before="240"/>
        <w:ind w:left="300"/>
      </w:pPr>
      <w:r>
        <w:rPr>
          <w:rFonts w:ascii="Batang" w:cs="Batang" w:eastAsia="Batang" w:hAnsi="Batang"/>
          <w:b/>
          <w:bCs/>
          <w:sz w:val="22"/>
          <w:szCs w:val="22"/>
        </w:rPr>
        <w:t xml:space="preserve">다. 산학 협력 연구의 구체적 계획</w:t>
      </w:r>
    </w:p>
    <w:p>
      <w:pPr>
        <w:spacing w:after="120" w:line="320"/>
        <w:ind w:firstLine="380"/>
      </w:pPr>
      <w:r>
        <w:rPr>
          <w:rFonts w:ascii="Batang" w:cs="Batang" w:eastAsia="Batang" w:hAnsi="Batang"/>
          <w:b w:val="false"/>
          <w:bCs w:val="false"/>
          <w:sz w:val="20"/>
          <w:szCs w:val="20"/>
        </w:rPr>
        <w:t xml:space="preserve">본 연구의 실무적 확장성을 강화하기 위해, **국내 온톨로지 전문 기업**과의 산학 협력 연구가 계획되어 있다. 해당 기업은 신약 개발 플랫폼 및 항체 시뮬레이션 기술을 보유한 의료·제약 분야의 전문 기업이며, 본 박사학위 논문의 PubMedQA 의료 도메인 일반성 실증이 협력의 학술적 기반이 된다.</w:t>
      </w:r>
    </w:p>
    <w:p>
      <w:pPr>
        <w:spacing w:after="120" w:line="320"/>
        <w:ind w:firstLine="380"/>
      </w:pPr>
      <w:r>
        <w:rPr>
          <w:rFonts w:ascii="Batang" w:cs="Batang" w:eastAsia="Batang" w:hAnsi="Batang"/>
          <w:b w:val="false"/>
          <w:bCs w:val="false"/>
          <w:sz w:val="20"/>
          <w:szCs w:val="20"/>
        </w:rPr>
        <w:t xml:space="preserve">협력의 기술적 목표와 구체적 실행 범위는 다음과 같다. 첫째, **대규모 의료 온톨로지 확장**이다. 본 논문의 경량 SNOMED CT 서브셋(약 5,000 개념)을 기업의 자체 의료 지식 체계와 통합하여 **실제 제약 업무용 대규모 온톨로지(10만~수십만 개념 규모)**로 확장한다. 이 과정에서 DrugBank, ChEMBL 등 제약 특화 공개 온톨로지와의 통합도 추진한다. 둘째, **신약 후보 탐색 워크플로우 통합**이다. 연구 결과 L-DWA 정책이 화합물-타겟-질병의 3중 관계 추론에 적용되어, 약물 재창출(drug repurposing) 및 후보 물질 스크리닝에 활용되는 시스템 프로토타입을 공동 개발한다. 셋째, **항체 시뮬레이션 결과와의 연동**이다. 기업의 항체 구조 시뮬레이션 결과를 Graph 소스의 노드 속성으로 통합하여, 항체-항원 결합 예측을 지원하는 RAG 시스템을 구축한다.</w:t>
      </w:r>
    </w:p>
    <w:p>
      <w:pPr>
        <w:spacing w:after="120" w:line="320"/>
        <w:ind w:firstLine="380"/>
      </w:pPr>
      <w:r>
        <w:rPr>
          <w:rFonts w:ascii="Batang" w:cs="Batang" w:eastAsia="Batang" w:hAnsi="Batang"/>
          <w:b w:val="false"/>
          <w:bCs w:val="false"/>
          <w:sz w:val="20"/>
          <w:szCs w:val="20"/>
        </w:rPr>
        <w:t xml:space="preserve">협력의 성과 목표는 세 가지이다. 첫째, 2027년까지 **SCI급 국제 학술지 공동 논문 1편** 이상 투고. 둘째, 2028~2029년 **프로토타입 시스템의 기업 내부 파일럿 적용**. 셋째, 2030년 이후 **본격 상용 라이선싱 또는 공동 제품 개발**. 이러한 산학 협력은 환자 안전과 직결되는 의료·제약 도메인에서 본 연구의 사회적 가치를 증대시킬 것으로 기대된다.</w:t>
      </w:r>
    </w:p>
    <w:p>
      <w:pPr>
        <w:pStyle w:val="Heading3"/>
        <w:spacing w:after="140" w:before="240"/>
        <w:ind w:left="300"/>
      </w:pPr>
      <w:r>
        <w:rPr>
          <w:rFonts w:ascii="Batang" w:cs="Batang" w:eastAsia="Batang" w:hAnsi="Batang"/>
          <w:b/>
          <w:bCs/>
          <w:sz w:val="22"/>
          <w:szCs w:val="22"/>
        </w:rPr>
        <w:t xml:space="preserve">라. 장기 연구 비전 (2031~2036)</w:t>
      </w:r>
    </w:p>
    <w:p>
      <w:pPr>
        <w:spacing w:after="120" w:line="320"/>
        <w:ind w:firstLine="380"/>
      </w:pPr>
      <w:r>
        <w:rPr>
          <w:rFonts w:ascii="Batang" w:cs="Batang" w:eastAsia="Batang" w:hAnsi="Batang"/>
          <w:b w:val="false"/>
          <w:bCs w:val="false"/>
          <w:sz w:val="20"/>
          <w:szCs w:val="20"/>
        </w:rPr>
        <w:t xml:space="preserve">로드맵의 마지막 단계는 본 프레임워크를 **범용 지식 융합 AI 아키텍처**로 진화시키는 것을 목표로 한다. 세 가지 방향이 추진된다. 첫째, **Quintuple-Hybrid 이상으로의 확장**으로, Audio 소스(Wav2Vec 기반), IoT 센서 스트림, 시계열 데이터 등을 통합한다. 둘째, **Cross-domain 메타 학습**으로, 한 도메인에서 학습된 L-DWA 정책이 새 도메인에 빠르게 적응하는 MAML 스타일 메타 학습 프레임워크를 개발한다. 구체적 목표는 새 도메인 적용 시 기존 대비 **학습 시간을 추가 10배 단축(1시간 → 6분)**하고, **zero-shot 성능을 현재 F1 0.67에서 0.75 이상으로 향상**시키는 것이다. 셋째, **온라인 강화학습 적용**으로, 실시간 사용자 피드백을 활용한 지속적 정책 개선 메커니즘을 연구한다. 이 장기 비전의 궁극적 가치는 "지식의 종류와 관계없이 적응적으로 융합하는 범용 AI 아키텍처"의 확립에 있으며, 본 박사학위 논문은 그 이론적 출발점이자 기반이다.</w:t>
      </w:r>
    </w:p>
    <w:p>
      <w:pPr>
        <w:pStyle w:val="Heading3"/>
        <w:spacing w:after="140" w:before="240"/>
        <w:ind w:left="300"/>
      </w:pPr>
      <w:r>
        <w:rPr>
          <w:rFonts w:ascii="Batang" w:cs="Batang" w:eastAsia="Batang" w:hAnsi="Batang"/>
          <w:b/>
          <w:bCs/>
          <w:sz w:val="22"/>
          <w:szCs w:val="22"/>
        </w:rPr>
        <w:t xml:space="preserve">마. 기술이전 및 상용화 플랜</w:t>
      </w:r>
    </w:p>
    <w:p>
      <w:pPr>
        <w:spacing w:after="120" w:line="320"/>
        <w:ind w:firstLine="380"/>
      </w:pPr>
      <w:r>
        <w:rPr>
          <w:rFonts w:ascii="Batang" w:cs="Batang" w:eastAsia="Batang" w:hAnsi="Batang"/>
          <w:b w:val="false"/>
          <w:bCs w:val="false"/>
          <w:sz w:val="20"/>
          <w:szCs w:val="20"/>
        </w:rPr>
        <w:t xml:space="preserve">본 연구의 기술이전 및 상용화 플랜은 3단계로 설계된다. 첫째, **공개 오픈소스 배포**(2025~2026)로, 전체 구현 코드, 오프라인 캐시 구축 스크립트, PPO 학습 모듈, BERT Intent Classifier 가중치를 GitHub에 MIT 라이선스로 공개한다. 이는 학술 커뮤니티의 후속 연구 진입 장벽을 낮추고, 본 연구의 재현성과 확장성을 극대화한다. 둘째, **산학 협력 파일럿**(2027~2029)으로, 국내 온톨로지 전문 기업과의 협력을 통해 제약 도메인 특화 프로토타입을 개발하고 실데이터에서 검증한다. 셋째, **상용 라이선싱**(2030~)으로, 국책 R&amp;D 과제를 통해 확보된 대규모 실증 데이터와 운영 경험을 바탕으로 본격적 상용화를 추진한다. 기술 이전 방식은 (a) 공공 연구 성과의 비배타적 라이선스, (b) 특정 응용 도메인(의료, 법률 등)의 배타적 라이선스, (c) 공동 제품 개발 조인트벤처의 세 옵션을 도메인별로 유연하게 적용한다.</w:t>
      </w:r>
    </w:p>
    <w:p>
      <w:r>
        <w:br w:type="page"/>
      </w:r>
    </w:p>
    <w:p>
      <w:pPr>
        <w:pStyle w:val="Heading2"/>
        <w:spacing w:after="180" w:before="360"/>
      </w:pPr>
      <w:r>
        <w:rPr>
          <w:rFonts w:ascii="Batang" w:cs="Batang" w:eastAsia="Batang" w:hAnsi="Batang"/>
          <w:b/>
          <w:bCs/>
          <w:sz w:val="24"/>
          <w:szCs w:val="24"/>
        </w:rPr>
        <w:t xml:space="preserve">4. 맺음말</w:t>
      </w:r>
    </w:p>
    <w:p>
      <w:pPr>
        <w:spacing w:after="120" w:line="320"/>
        <w:ind w:firstLine="380"/>
      </w:pPr>
      <w:r>
        <w:rPr>
          <w:rFonts w:ascii="Batang" w:cs="Batang" w:eastAsia="Batang" w:hAnsi="Batang"/>
          <w:b w:val="false"/>
          <w:bCs w:val="false"/>
          <w:sz w:val="20"/>
          <w:szCs w:val="20"/>
        </w:rPr>
        <w:t xml:space="preserve">본 박사학위 논문은 Triple-Hybrid RAG의 가중치 결정이라는 구체적 기술 문제에서 출발하여, 그 해결 과정에서 **MDP 형식화와 N-소스 일반화**라는 보다 일반적인 이론적 통찰로 발전하였다. 규칙 기반 R-DWA의 한계를 체계적으로 규명하고 학습 기반 L-DWA로 이를 극복하는 과정, 그리고 경계선상 질의라는 구체적 문제를 BERT 멀티 레이블 분류로 해결하는 과정은, **휴리스틱과 학습의 경계에서 실용적 균형점을 찾는 방법론**의 한 사례를 제공한다. 무엇보다 대학 행정, 일반 QA, 복합 멀티홉, 의료·제약의 네 가지 이질적 도메인에서 일관된 성능 향상을 실증한 것은, 본 연구가 특정 문제에 특화된 해결책이 아닌 **범용성 있는 지식 융합 프레임워크**임을 뒷받침한다.</w:t>
      </w:r>
    </w:p>
    <w:p>
      <w:pPr>
        <w:spacing w:after="120" w:line="320"/>
        <w:ind w:firstLine="380"/>
      </w:pPr>
      <w:r>
        <w:rPr>
          <w:rFonts w:ascii="Batang" w:cs="Batang" w:eastAsia="Batang" w:hAnsi="Batang"/>
          <w:b w:val="false"/>
          <w:bCs w:val="false"/>
          <w:sz w:val="20"/>
          <w:szCs w:val="20"/>
        </w:rPr>
        <w:t xml:space="preserve">정량적으로 본 연구는 주요 벤치마크에서 기존 SOTA 대비 F1 +9.9%~+50%, 경계선상 질의 EM +33%의 개선을 달성하였으며, 학습 비용 85% 절감과 시간 98% 단축이라는 실용적 가치를 동시에 제공하였다. 이러한 성과는 **학술적 우수성과 실무적 효용의 균형**이라는 박사학위 연구의 이상적 모습을 보여준다. 향후 10년의 연구 로드맵을 통해, 본 연구의 이론적 기여는 **대형 국책 R&amp;D 과제(2026.5~2031.4)**와 **국내 온톨로지 전문 기업과의 산학 협력**으로 실제 사회 문제 해결에 기여하는 기술로 성장할 것이며, 이 과정에서 얻어지는 현장 경험과 대규모 데이터는 다시 학술 연구의 질적 향상에 반영될 것이다. 이러한 학술-산업의 선순환 구조는 저자가 학계와 산업계를 아우르는 연구자로 성장하기 위한 중요한 기반이 된다.</w:t>
      </w:r>
    </w:p>
    <w:p>
      <w:pPr>
        <w:spacing w:after="120" w:line="320"/>
        <w:ind w:firstLine="380"/>
      </w:pPr>
      <w:r>
        <w:rPr>
          <w:rFonts w:ascii="Batang" w:cs="Batang" w:eastAsia="Batang" w:hAnsi="Batang"/>
          <w:b w:val="false"/>
          <w:bCs w:val="false"/>
          <w:sz w:val="20"/>
          <w:szCs w:val="20"/>
        </w:rPr>
        <w:t xml:space="preserve">마지막으로, 본 연구는 많은 분들의 도움으로 완성되었다. 지도교수님의 학문적 지도와 연구 방향 제시, 연구실 동료들의 토론, 연구 과정에 협조해주신 모든 분들께 깊은 감사를 드린다. 본 논문이 Triple-Hybrid RAG 및 적응적 지식 융합 연구 분야의 후속 연구자들에게 작은 이정표가 되기를 기대하며, 저자 또한 본 연구의 성과를 바탕으로 학계와 산업계 양쪽에서 지속적으로 기여하는 연구자로 성장하고자 한다.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color w:val="666666"/>
        <w:sz w:val="16"/>
        <w:szCs w:val="16"/>
      </w:rPr>
      <w:t xml:space="preserve">Ⅶ. 결론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2026-04-18T09:34:48.381Z</dcterms:created>
  <dcterms:modified xsi:type="dcterms:W3CDTF">2026-04-18T09:34:48.381Z</dcterms:modified>
</cp:coreProperties>
</file>

<file path=docProps/custom.xml><?xml version="1.0" encoding="utf-8"?>
<Properties xmlns="http://schemas.openxmlformats.org/officeDocument/2006/custom-properties" xmlns:vt="http://schemas.openxmlformats.org/officeDocument/2006/docPropsVTypes"/>
</file>