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제02 장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제Ⅱ장 관련 연구 (v5 재작성)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본 논문의 세 갈래 관련 연구 흐름을 정리한다: (1) RAG 진화와 하이브리드 접근, (2) 지식 그래프·온톨로지의 RAG 통합, (3) 검색/가중치 결정을 강화학습으로 최적화하는 흐름. 마지막 절에서 본 논문의 위치를 명시한다.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RAG의 진화와 하이브리드 접근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1.1 단일 소스 RAG의 한계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Lewis et al. (2020)의 RAG 기본형은 Dense Vector Retrieval과 생성 모델의 결합으로, LLM 환각 완화에 실효를 거두었다. 그러나 단일 벡터 소스는 (i) 관계형 질의 (multi-hop) 에서 얕은 유사도만 반영하고, (ii) 조건 제약 (e.g. "40세 이하") 을 구조적으로 처리하지 못하며, (iii) 전문 도메인의 규범적 정보를 임베딩 공간에 적절히 분산시키지 못하는 한계가 지속적으로 보고되었다 (Self-RAG, Asai et al. 2023; CRAG, Yan et al. 2024).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1.2 GraphRAG 계열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Microsoft GraphRAG (Edge et al. 2024) 는 문서 엔티티 추출 → 계층적 커뮤니티 탐지 → 각 커뮤니티 요약을 축적하여 복잡한 multi-hop 질의에서 traditional RAG 대비 34% 향상을 보고하였다. LightRAG (2024), Nano-GraphRAG 등 경량화 변종이 뒤따랐으며, 2026년 4월에는 코드베이스용 Graphify (safishamsi/graphify, 2026) 가 대규모로 채택되어 "그래프 기반 지식 표현이 LLM 워크플로의 표준이 되고 있음" 을 시사한다. 본 논문의 선행 연구 (Shin &amp; Moon, 2025) 는 Graph 소스를 벡터·온톨로지와 통합한 Triple-Hybrid 구성을 제시한 바 있다.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1.3 Hybrid RAG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HybridRAG (2024) 는 vector retrieval과 graph retrieval을 고정 가중치 로 결합하여 금융 도메인에서 보고되었다. 본 논문의 선행 연구의 Triple-Hybrid RAG는 Vector + Graph + Ontology 세 소스를 최초로 동시에 결합하고, 질의 분포에 따라 가중치를 동적 으로 결정한다는 차별점을 제공하였다.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지식 그래프 및 온톨로지의 RAG 통합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2.1 지식 그래프 기반 RAG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NetworkX BFS 혹은 Neo4j Cypher 기반의 관계 탐색을 RAG에 결합하는 흐름은 multi-hop QA 정확도 향상과 답변 근거의 해석 가능성을 제공한다. 본 논문은 NetworkX MultiDiGraph 기반 BFS(max_depth=3)를 Graph 소스로 채택하여 (Ch.3 §2.2), 577명 교수 / 60 학과 / 400 프로젝트 규모의 합성 대학 그래프를 적용하였다.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2.2 형식 온톨로지의 RAG 통합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OWL 2 표준과 HermiT/Pellet 추론기는 클래스 계층, 속성 제약, 수치 범위의 결정 가능한 추론을 제공한다. 본 논문은 Owlready2 기반 온톨로지를 Ontology 소스로 채택하며 (Ch.3 §2.3), 특히 조건부 질의 (conditional query) 의 수치 제약 ("40세 이하") 을 제약 체크로 명시 처리한다.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검색·가중치 결정의 강화학습 기반 최적화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3.1 Adaptive-RAG와 정책 기반 검색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Jeong et al. (2024) Adaptive-RAG는 질의 복잡도에 따라 단일 호출/반복 호출/no-retrieval 중 하나를 고르는 분류기를 학습한다. 그러나 서로 다른 지식 소스 간 연속 가중치 결정 은 대상이 아니다.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3.2 Instruct-RAG / Self-RAG / CRAG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Self-RAG (Asai et al. 2023) 와 CRAG (Yan et al. 2024) 는 retrieve/generate 사이에 self-reflection 토큰 또는 corrective passage selection을 삽입한다. 이들은 문서 선택이나 재작성의 quality control에 초점을 맞추며, 소스 간 가중치 융합 은 연구 질문으로 제기되지 않았다.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3.3 PPO 기반 정책 학습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Schulman et al. (2017) 의 PPO는 clip ratio ε로 정책 업데이트 안정성을 보장하는 대표적 on-policy RL 알고리즘이다. 본 논문은 PPO의 구현을 RAG 가중치 결정에 최초로 적용하여 5,636 파라미터의 경량 Actor-Critic 정책을 학습한다. 이와 유사한 검색 설정의 RL 적용은 Dense Passage Retrieval의 online fine-tuning 수준에 머물러 있으며 (ColBERT-PRF 등), Triple-Hybrid 가중치 학습은 본 논문이 최초 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한국어 QA 평가 및 JKSCI 2025 기준선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4.1 한국어 QA의 평가 난점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한국어 gold 답은 콤마 구분 다인명 리스트 ("홍성민, 황성민, 전성민") 가 빈번하고, LLM의 자연어 출력은 "홍성민 교수, 황성민 교수, 전성민 교수가 담당합니다" 형태의 문장이다. 토큰 집합 기반 F1은 조사 제거·구두점 제거 없이는 gold/prediction 토큰이 접미사 차이로 매칭되지 않는다. 본 논문은 이 간극을 F1_strict (엄격 토큰 집합) 와 F1_substring (콤마 분할 부분문자열) 의 이중 지표로 명시화한다 (Ch.6 §1.3).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4.2 JKSCI 2025 선행 연구의 수치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선행 논문은 R-DWA F1 0.86, EM 0.78, Faithfulness 0.89를 보고하였다. 본 논문의 엄격 재평가에서 R-DWA F1_strict는 0.137, F1_substring은 0.448로 측정되며, 선행 수치의 Faithfulness 0.89는 본 논문 측정 0.835와 94% 일치 하여 LLM 생성 품질은 재현됨을 확인하였다. F1의 격차는 평가 구현 세부 (토큰화, 정규화 strict/loose) 차이에 기인하며 (Ch.6 §3.3 상세), 본 논문은 두 지표 병기로 선행과 호환·비교 가능성을 제공한다.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2-1] R-DWA vs L-DWA — 3-문장 요약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같은 Triple-Hybrid 파이프라인의 가중치 결정 단계 에서 R-DWA는 사람이 짠 if-else 규칙 + 기본 가중치 테이블을 적용하고, L-DWA는 18-dim 상태 → Actor-Critic 신경망(≈6K 파라미터) → Dirichlet 가중치 샘플링으로 학습한 정책을 호출한다.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 (같은 질의, 같은 retrieval). "기계공학과 55세 이하 교수는?"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단계 | R-DWA | L-DWA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밀도 신호 | (2, 1, 1) | (2, 1, 1) + 15-dim extras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가중치 로직 | 규칙 테이블 + λ 보정 | π&lt;sub&gt;θ&lt;/sub&gt;(s) Dirichlet mean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선택된 (α, β, γ) | (0.15, 0.25, 0.60) (고정 템플릿) | (0.12, 0.23, 0.65) (연속 조정)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본 벤치마크 F1&lt;sub&gt;strict&lt;/sub&gt; | 0.137 | 0.167 (+21.9%)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규칙 기반(R)은 투명하지만 고정적, 학습 기반(L)은 불투명하지만 적응적. 본 논문은 이 두 극단 사이에서 학습형이 Oracle 의 96% 이상에 도달함을 실증(§3.2).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본 논문의 연구적 위치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논문은 다음 세 축에서 기존 문헌과 구별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축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기존 연구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본 논문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지식 소스 결합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Hybrid (2-way), GraphRAG (1+커뮤니티)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Triple-Hybrid (Vector+Graph+Ontology)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가중치 결정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고정 / 분류기 / 규칙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MDP + PPO 학습형 연속 가중치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평가 엄격성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단일 F1/EM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F1_strict + F1_substring 이중 평가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 (선행 JKSCI) 는 Triple-Hybrid의 엔지니어링 조합을, 본 박사 논문은 Triple-Hybrid의 학습 프레임워크 (L-DWA) 를 기여한다. 합성 대학 벤치마크에서 L-DWA는 R-DWA 대비 F1_strict +21.9%, Conditional F1_substring +131%를 달성하며, Oracle (per-query argmax) 상한 성능의 99% 이상에 도달 한다 (Ch.6 §3).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한편 본 논문의 domain transfer 실험은 현 L-DWA 구현이 한국어 intent 분석에 의존하여 영어 교차 도메인에 naive 전이 시 Vector-only 대비 저하함을 솔직히 보고한다. 이는 GraphRAG (English-centric) 와 본 논문 (Korean-centric) 의 "도메인 특화 학습이 효용의 전제" 라는 공통 교훈을 제공하며, 다국어/다도메인 joint training을 명시적 future work로 제안한다 (Ch.7 §2).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