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제07 장</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 · E2 이중 F1 평가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+21.9% · P2 Oracle의 99.4% 근접 · P3 Conditional +131% (F1&lt;sub&gt;sub&lt;/sub&gt;)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회수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0.001 | 0.168 | 96% |</w:t>
      </w:r>
    </w:p>
    <w:p>
      <w:pPr>
        <w:spacing w:lineRule="auto" w:line="360" w:after="0"/>
        <w:ind w:left="567"/>
      </w:pPr>
      <w:r>
        <w:rPr>
          <w:rFonts w:ascii="바탕" w:hAnsi="바탕" w:eastAsia="바탕"/>
          <w:b w:val="0"/>
          <w:sz w:val="20"/>
        </w:rPr>
        <w:t>▸ | F1&lt;sub&gt;sub&lt;/sub&gt; | 0.450 | 0.488 ± 0.006 | 0.483 | Oracle 초과 |</w:t>
      </w:r>
    </w:p>
    <w:p>
      <w:pPr>
        <w:spacing w:lineRule="auto" w:line="360" w:after="0"/>
        <w:ind w:left="567"/>
      </w:pPr>
      <w:r>
        <w:rPr>
          <w:rFonts w:ascii="바탕" w:hAnsi="바탕" w:eastAsia="바탕"/>
          <w:b w:val="0"/>
          <w:sz w:val="20"/>
        </w:rPr>
        <w:t>▸ | Faithfulness | 0.835 | 0.866 ± 0.004 | 0.888 | 57% |</w:t>
      </w:r>
    </w:p>
    <w:p>
      <w:pPr>
        <w:spacing w:lineRule="auto" w:line="360" w:after="0"/>
        <w:ind w:left="567"/>
      </w:pPr>
      <w:r>
        <w:rPr>
          <w:rFonts w:ascii="바탕" w:hAnsi="바탕" w:eastAsia="바탕"/>
          <w:b w:val="0"/>
          <w:sz w:val="20"/>
        </w:rPr>
        <w:t>▸ | Total R (학습 목표) | 0.199 | 0.215 ± 0.002 | 0.250 | 32%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L-DWA는 학습 목표(R) 근처가 아닌 F1 지표들에서 Oracle 근접/초과 — per-query 연속 가중치 결정의 규칙 기반 대비 질적 우월성 입증. Cross-domain 실패는 본 프레임워크의 도메인 특화 본질 을 확인한 결과로 해석(§4).</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