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4월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0.304 로 36.7% 향상되며, 이 영역에서는 Oracle 마저 넘어선다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기준. 본문에서 "(저자, 연도)" 또는 "저자 et al. (연도)" 형식으로 인용된 모든 문헌과 본 연구의 재현을 위해 필요한 도구 · 라이브러리 · 데이터셋을 포함한다.</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하이브리드 RAG</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[5]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[6] B. Ma, C. Wu, and S. Ji, "Hybrid RAG: Integrating Knowledge Graph and Text Retrieval for Question Answering," in Proc. ACL Workshop on Knowledge Augmented Methods for NLP,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[7]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[8] S. Yan, J. Gu, Y. Zhu, and Z. Ling, "Corrective Retrieval Augmented Generation (CRAG)," arXiv preprint arXiv:2401.15884, 2024.</w:t>
      </w:r>
    </w:p>
    <w:p>
      <w:pPr>
        <w:pStyle w:val="Heading2"/>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[9]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[10] O. Khattab and M. Zaharia, "ColBERT: Efficient and Effective Passage Search via Contextualized Late Interaction over BERT," in Proc. SIGIR, pp. 39–48, 2020.</w:t>
      </w:r>
    </w:p>
    <w:p>
      <w:pPr>
        <w:pStyle w:val="Heading2"/>
        <w:spacing w:lineRule="auto" w:line="360" w:after="160"/>
      </w:pPr>
      <w:r>
        <w:rPr>
          <w:rFonts w:ascii="바탕" w:hAnsi="바탕" w:eastAsia="바탕"/>
          <w:b/>
          <w:sz w:val="24"/>
        </w:rPr>
        <w:t>[6] 강화학습 (PPO) 및 정책 최적화</w:t>
      </w:r>
    </w:p>
    <w:p>
      <w:pPr>
        <w:spacing w:lineRule="auto" w:line="480" w:after="0"/>
      </w:pPr>
      <w:r>
        <w:rPr>
          <w:rFonts w:ascii="바탕" w:hAnsi="바탕" w:eastAsia="바탕"/>
          <w:b w:val="0"/>
          <w:sz w:val="21"/>
        </w:rPr>
        <w:t>[11] J. Schulman, S. Levine, P. Abbeel, M. Jordan, and P. Moritz, "Trust Region Policy Optimization," in Proc. ICML, 2015.</w:t>
      </w:r>
    </w:p>
    <w:p>
      <w:pPr>
        <w:spacing w:lineRule="auto" w:line="480" w:after="0"/>
      </w:pPr>
      <w:r>
        <w:rPr>
          <w:rFonts w:ascii="바탕" w:hAnsi="바탕" w:eastAsia="바탕"/>
          <w:b w:val="0"/>
          <w:sz w:val="21"/>
        </w:rPr>
        <w:t>[12]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[13] J. Schulman, F. Wolski, P. Dhariwal, A. Radford, and O. Klimov, "Proximal Policy Optimization Algorithms," arXiv preprint arXiv:1707.06347, 2017.</w:t>
      </w:r>
    </w:p>
    <w:p>
      <w:pPr>
        <w:pStyle w:val="Heading2"/>
        <w:spacing w:lineRule="auto" w:line="360" w:after="160"/>
      </w:pPr>
      <w:r>
        <w:rPr>
          <w:rFonts w:ascii="바탕" w:hAnsi="바탕" w:eastAsia="바탕"/>
          <w:b/>
          <w:sz w:val="24"/>
        </w:rPr>
        <w:t>[7] 언어 모델 및 임베딩</w:t>
      </w:r>
    </w:p>
    <w:p>
      <w:pPr>
        <w:spacing w:lineRule="auto" w:line="480" w:after="0"/>
      </w:pPr>
      <w:r>
        <w:rPr>
          <w:rFonts w:ascii="바탕" w:hAnsi="바탕" w:eastAsia="바탕"/>
          <w:b w:val="0"/>
          <w:sz w:val="21"/>
        </w:rPr>
        <w:t>[14]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[15] S. Park, J. Moon, S. Kim, J. Y. Cho, J. Han, et al., "KLUE: Korean Language Understanding Evaluation," in Advances in Neural Information Processing Systems (NeurIPS) Datasets and Benchmarks Track, 2021. (본 논문의 BERT Intent Classifier 는 klue/bert-base 사용)</w:t>
      </w:r>
    </w:p>
    <w:p>
      <w:pPr>
        <w:spacing w:lineRule="auto" w:line="480" w:after="0"/>
      </w:pPr>
      <w:r>
        <w:rPr>
          <w:rFonts w:ascii="바탕" w:hAnsi="바탕" w:eastAsia="바탕"/>
          <w:b w:val="0"/>
          <w:sz w:val="21"/>
        </w:rPr>
        <w:t>[16]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[17] OpenAI, "text-embedding-3-small: New Embedding Model," 2024. (본 논문 Vector 임베딩 1,536-dim, 코사인 유사도)</w:t>
      </w:r>
    </w:p>
    <w:p>
      <w:pPr>
        <w:pStyle w:val="Heading2"/>
        <w:spacing w:lineRule="auto" w:line="360" w:after="160"/>
      </w:pPr>
      <w:r>
        <w:rPr>
          <w:rFonts w:ascii="바탕" w:hAnsi="바탕" w:eastAsia="바탕"/>
          <w:b/>
          <w:sz w:val="24"/>
        </w:rPr>
        <w:t>[8] 벤치마크 데이터셋</w:t>
      </w:r>
    </w:p>
    <w:p>
      <w:pPr>
        <w:spacing w:lineRule="auto" w:line="480" w:after="0"/>
      </w:pPr>
      <w:r>
        <w:rPr>
          <w:rFonts w:ascii="바탕" w:hAnsi="바탕" w:eastAsia="바탕"/>
          <w:b w:val="0"/>
          <w:sz w:val="21"/>
        </w:rPr>
        <w:t>[18]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[19]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[20] Q. Jin, B. Dhingra, Z. Liu, W. Cohen, and X. Lu, "PubMedQA: A Dataset for Biomedical Research Question Answering," in Proc. EMNLP-IJCNLP, pp. 2567–2577, 2019.</w:t>
      </w:r>
    </w:p>
    <w:p>
      <w:pPr>
        <w:pStyle w:val="Heading2"/>
        <w:spacing w:lineRule="auto" w:line="360" w:after="160"/>
      </w:pPr>
      <w:r>
        <w:rPr>
          <w:rFonts w:ascii="바탕" w:hAnsi="바탕" w:eastAsia="바탕"/>
          <w:b/>
          <w:sz w:val="24"/>
        </w:rPr>
        <w:t>[9] RAG 평가 방법론</w:t>
      </w:r>
    </w:p>
    <w:p>
      <w:pPr>
        <w:spacing w:lineRule="auto" w:line="480" w:after="0"/>
      </w:pPr>
      <w:r>
        <w:rPr>
          <w:rFonts w:ascii="바탕" w:hAnsi="바탕" w:eastAsia="바탕"/>
          <w:b w:val="0"/>
          <w:sz w:val="21"/>
        </w:rPr>
        <w:t>[21]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[22] P. Rajpurkar, J. Zhang, K. Lopyrev, and P. Liang, "SQuAD: 100,000+ Questions for Machine Comprehension of Text," in Proc. EMNLP, pp. 2383–2392, 2016. (F1 / EM 평가 방법의 원류)</w:t>
      </w:r>
    </w:p>
    <w:p>
      <w:pPr>
        <w:pStyle w:val="Heading2"/>
        <w:spacing w:lineRule="auto" w:line="360" w:after="160"/>
      </w:pPr>
      <w:r>
        <w:rPr>
          <w:rFonts w:ascii="바탕" w:hAnsi="바탕" w:eastAsia="바탕"/>
          <w:b/>
          <w:sz w:val="24"/>
        </w:rPr>
        <w:t>[10] 도구 및 구현 의존성 (Software References)</w:t>
      </w:r>
    </w:p>
    <w:p>
      <w:pPr>
        <w:spacing w:lineRule="auto" w:line="480" w:after="0"/>
      </w:pPr>
      <w:r>
        <w:rPr>
          <w:rFonts w:ascii="바탕" w:hAnsi="바탕" w:eastAsia="바탕"/>
          <w:b w:val="0"/>
          <w:sz w:val="21"/>
        </w:rPr>
        <w:t>[23]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[24] A. A. Hagberg, D. A. Schult, and P. J. Swart, "Exploring Network Structure, Dynamics, and Function using NetworkX," in Proc. 7th Python in Science Conference, pp. 11–15, 2008. [https://networkx.org]</w:t>
      </w:r>
    </w:p>
    <w:p>
      <w:pPr>
        <w:spacing w:lineRule="auto" w:line="480" w:after="0"/>
      </w:pPr>
      <w:r>
        <w:rPr>
          <w:rFonts w:ascii="바탕" w:hAnsi="바탕" w:eastAsia="바탕"/>
          <w:b w:val="0"/>
          <w:sz w:val="21"/>
        </w:rPr>
        <w:t>[25]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[26] R. Shearer, B. Motik, and I. Horrocks, "HermiT: A Highly-Efficient OWL Reasoner," in OWL: Experiences and Directions (OWLED), 2008. [http://www.hermit-reasoner.com]</w:t>
      </w:r>
    </w:p>
    <w:p>
      <w:pPr>
        <w:spacing w:lineRule="auto" w:line="480" w:after="0"/>
      </w:pPr>
      <w:r>
        <w:rPr>
          <w:rFonts w:ascii="바탕" w:hAnsi="바탕" w:eastAsia="바탕"/>
          <w:b w:val="0"/>
          <w:sz w:val="21"/>
        </w:rPr>
        <w:t>[27]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[28] T. Wolf, L. Debut, V. Sanh, J. Chaumond, C. Delangue, et al., "Transformers: State-of-the-Art Natural Language Processing," in Proc. EMNLP Demo Track, 2020. [https://huggingface.co/docs/transformers]</w:t>
      </w:r>
    </w:p>
    <w:p>
      <w:pPr>
        <w:spacing w:lineRule="auto" w:line="480" w:after="0"/>
      </w:pPr>
      <w:r>
        <w:rPr>
          <w:rFonts w:ascii="바탕" w:hAnsi="바탕" w:eastAsia="바탕"/>
          <w:b w:val="0"/>
          <w:sz w:val="21"/>
        </w:rPr>
        <w:t>[29] Langchain-AI, "LangChain: Building applications with LLMs through composability," 2023. [https://langchain.com]</w:t>
      </w:r>
    </w:p>
    <w:p>
      <w:pPr>
        <w:spacing w:lineRule="auto" w:line="480" w:after="0"/>
      </w:pPr>
      <w:r>
        <w:rPr>
          <w:rFonts w:ascii="바탕" w:hAnsi="바탕" w:eastAsia="바탕"/>
          <w:b w:val="0"/>
          <w:sz w:val="21"/>
        </w:rPr>
        <w:t>[30] Streamlit Inc., "Streamlit: The fastest way to build and share data apps," 2024. [https://streamlit.io] (본 논문 대시보드 구현)</w:t>
      </w:r>
    </w:p>
    <w:p>
      <w:pPr>
        <w:pStyle w:val="Heading2"/>
        <w:spacing w:lineRule="auto" w:line="360" w:after="160"/>
      </w:pPr>
      <w:r>
        <w:rPr>
          <w:rFonts w:ascii="바탕" w:hAnsi="바탕" w:eastAsia="바탕"/>
          <w:b/>
          <w:sz w:val="24"/>
        </w:rPr>
        <w:t>[11] 저장소 및 재현 자료</w:t>
      </w:r>
    </w:p>
    <w:p>
      <w:pPr>
        <w:spacing w:lineRule="auto" w:line="480" w:after="0"/>
      </w:pPr>
      <w:r>
        <w:rPr>
          <w:rFonts w:ascii="바탕" w:hAnsi="바탕" w:eastAsia="바탕"/>
          <w:b w:val="0"/>
          <w:sz w:val="21"/>
        </w:rPr>
        <w:t>[31] D.-W. Shin, "Triple-Hybrid RAG PhD Thesis Repository," 2026. [https://github.com/sdw1621/triple-rag-phd]</w:t>
      </w:r>
    </w:p>
    <w:p>
      <w:pPr>
        <w:spacing w:lineRule="auto" w:line="480" w:after="0"/>
      </w:pPr>
      <w:r>
        <w:rPr>
          <w:rFonts w:ascii="바탕" w:hAnsi="바탕" w:eastAsia="바탕"/>
          <w:b w:val="0"/>
          <w:sz w:val="21"/>
        </w:rPr>
        <w:t>[32] D.-W. Shin, "hybrid-rag-comparsion (Prior Work Repository with CORRIGENDUM)," 2026. [https://github.com/sdw1621/hybrid-rag-comparsion/blob/main/CORRIGENDUM.md]</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[32]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재현에 필수 인 도구 (FAISS, NetworkX 등) 는 §10 에 "Software References" 로 포함.</w:t>
      </w:r>
    </w:p>
    <w:p>
      <w:pPr>
        <w:spacing w:lineRule="auto" w:line="480" w:after="0"/>
      </w:pPr>
      <w:r>
        <w:rPr>
          <w:rFonts w:ascii="바탕" w:hAnsi="바탕" w:eastAsia="바탕"/>
          <w:b w:val="0"/>
          <w:sz w:val="21"/>
        </w:rPr>
        <w:t>총 32 항목.</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