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5월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3-seed 평균 0.285 로 27.8% 향상되며, 이 영역에서 Oracle 0.290 과 사실상 동등 수준 (이산 상한 도달) 에 이른다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 또한 5,000 query-level paired bootstrap (BCa 보정 95% CI, 5,000 resamples) 을 도입하여 정책 차이의 통계적 유의성과 효과 크기 (Cohen's d&lt;sub&gt;z&lt;/sub&gt;) 까지 정량적으로 보고하며, cache regime 에서 R-DWA 가 Uniform/Vector-only 정책보다 유의하게 낮게 측정된다는 부수 발견까지 자발적으로 노출한다 (Ch.6 §3 아).</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pStyle w:val="ListBullet"/>
        <w:spacing w:lineRule="auto" w:line="360" w:after="0"/>
      </w:pPr>
      <w:r>
        <w:rPr>
          <w:rFonts w:ascii="바탕" w:hAnsi="바탕" w:eastAsia="바탕"/>
          <w:b w:val="0"/>
          <w:sz w:val="21"/>
        </w:rPr>
        <w:t>List-prompt regime 에서의 Uniform 정책 paired bootstrap 비교 (Ch.6 §3 아 의 cache regime 결과를 보완하기 위한 분석으로, Ch.6 §8 나의 1순위 향후 연구로 명시)</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재평가는 두 단계로 이루어진다. (i) Sentence 프롬프트 (선행과 동일 출력 형식) 에서 R-DWA F1&lt;sub&gt;strict&lt;/sub&gt; 는 0.137, F1&lt;sub&gt;substring&lt;/sub&gt; 은 0.448 로 측정되며, 선행 수치의 Faithfulness 0.89 는 본 논문 측정 0.835 와 94% 일치 하여 LLM 생성 품질은 재현됨을 확인하였다. (ii) 출력 형식만 List 프롬프트 (콤마 구분 nominal list) 로 정렬하면 평가 인프라 변경 없이 R-DWA F1&lt;sub&gt;strict&lt;/sub&gt; 가 0.529, EM 이 0.387 로 회복되어 선행 보고에 더 가까워진다. 이를 본 논문의 corrected baseline 으로 삼는다. F1&lt;sub&gt;strict&lt;/sub&gt; 의 격차는 형식 정렬 단계와 평가기 strict/loose 정의 차이에 기인하며 (Ch.6 §3.3 상세), 본 논문은 sentence/list 두 단계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0.529 | 0.562 ± 0.007 (+6.2%)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66-점 이산 격자 Oracle (0.554) 을 초과 함을 실증(§3.2). 연속 정책이 이산 argmax 상한 바깥의 공간을 활용한다는 해석이다.</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 (corrected baseline) 에서 L-DWA는 R-DWA 대비 F1&lt;sub&gt;strict&lt;/sub&gt; +6.2% (0.529 → 0.562 ± 0.007), Conditional F1&lt;sub&gt;substring&lt;/sub&gt; +28.6% (0.148 → 0.190) 를 달성하며, 66-점 이산 격자 Oracle (per-query argmax) 상한을 초과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spacing w:lineRule="auto" w:line="480" w:after="0"/>
      </w:pPr>
      <w:r>
        <w:rPr>
          <w:rFonts w:ascii="바탕" w:hAnsi="바탕" w:eastAsia="바탕"/>
          <w:b w:val="0"/>
          <w:sz w:val="21"/>
        </w:rPr>
        <w:t>본 절은 R-DWA 를 corrected baseline (List 프롬프트, 버그 수정 평가기, 5,000 QA) 조건에서 재측정한 결과를 제시한다. Sentence 프롬프트 측정과의 대비는 Ch.6 §3.3 에서 별도 처리한다.</w:t>
      </w:r>
    </w:p>
    <w:p>
      <w:pPr>
        <w:pStyle w:val="Heading3"/>
        <w:spacing w:lineRule="auto" w:line="360" w:after="160"/>
      </w:pPr>
      <w:r>
        <w:rPr>
          <w:rFonts w:ascii="바탕" w:hAnsi="바탕" w:eastAsia="바탕"/>
          <w:b/>
          <w:sz w:val="22"/>
        </w:rPr>
        <w:t>가. 전체 (5,000 QA, list prompt corrected)</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0.529 ± 0.429</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0.482 ± 0.442</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0.469 ± 0.438</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0.387 ± 0.487</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0.544 ± 0.486</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0.71 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 이 Ontology 지향적인 것과 대조된다 (Oracle 평균 (α=0.04, β=0.07, γ=0.89), 반복 가중치 (0.0, 0.0, 1.0) 가 1,834 회로 최빈).</w:t>
      </w:r>
    </w:p>
    <w:p>
      <w:pPr>
        <w:pStyle w:val="Heading3"/>
        <w:spacing w:lineRule="auto" w:line="360" w:after="160"/>
      </w:pPr>
      <w:r>
        <w:rPr>
          <w:rFonts w:ascii="바탕" w:hAnsi="바탕" w:eastAsia="바탕"/>
          <w:b/>
          <w:sz w:val="22"/>
        </w:rPr>
        <w:t>나. 질의 유형별 (list prompt corrected)</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Type</w:t>
            </w:r>
          </w:p>
        </w:tc>
        <w:tc>
          <w:tcPr>
            <w:tcW w:type="dxa" w:w="1398"/>
          </w:tcPr>
          <w:p>
            <w:pPr>
              <w:spacing w:lineRule="auto" w:line="276" w:after="0"/>
            </w:pPr>
            <w:r/>
            <w:r>
              <w:rPr>
                <w:rFonts w:ascii="바탕" w:hAnsi="바탕" w:eastAsia="바탕"/>
                <w:b/>
                <w:sz w:val="19"/>
              </w:rPr>
              <w:t>n</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simple</w:t>
            </w:r>
          </w:p>
        </w:tc>
        <w:tc>
          <w:tcPr>
            <w:tcW w:type="dxa" w:w="1398"/>
          </w:tcPr>
          <w:p>
            <w:pPr>
              <w:spacing w:lineRule="auto" w:line="276" w:after="0"/>
            </w:pPr>
            <w:r/>
            <w:r>
              <w:rPr>
                <w:rFonts w:ascii="바탕" w:hAnsi="바탕" w:eastAsia="바탕"/>
                <w:b w:val="0"/>
                <w:sz w:val="19"/>
              </w:rPr>
              <w:t>2,000</w:t>
            </w:r>
          </w:p>
        </w:tc>
        <w:tc>
          <w:tcPr>
            <w:tcW w:type="dxa" w:w="1398"/>
          </w:tcPr>
          <w:p>
            <w:pPr>
              <w:spacing w:lineRule="auto" w:line="276" w:after="0"/>
            </w:pPr>
            <w:r/>
            <w:r>
              <w:rPr>
                <w:rFonts w:ascii="바탕" w:hAnsi="바탕" w:eastAsia="바탕"/>
                <w:b w:val="0"/>
                <w:sz w:val="19"/>
              </w:rPr>
              <w:t>0.874</w:t>
            </w:r>
          </w:p>
        </w:tc>
        <w:tc>
          <w:tcPr>
            <w:tcW w:type="dxa" w:w="1398"/>
          </w:tcPr>
          <w:p>
            <w:pPr>
              <w:spacing w:lineRule="auto" w:line="276" w:after="0"/>
            </w:pPr>
            <w:r/>
            <w:r>
              <w:rPr>
                <w:rFonts w:ascii="바탕" w:hAnsi="바탕" w:eastAsia="바탕"/>
                <w:b w:val="0"/>
                <w:sz w:val="19"/>
              </w:rPr>
              <w:t>0.857</w:t>
            </w:r>
          </w:p>
        </w:tc>
        <w:tc>
          <w:tcPr>
            <w:tcW w:type="dxa" w:w="1398"/>
          </w:tcPr>
          <w:p>
            <w:pPr>
              <w:spacing w:lineRule="auto" w:line="276" w:after="0"/>
            </w:pPr>
            <w:r/>
            <w:r>
              <w:rPr>
                <w:rFonts w:ascii="바탕" w:hAnsi="바탕" w:eastAsia="바탕"/>
                <w:b w:val="0"/>
                <w:sz w:val="19"/>
              </w:rPr>
              <w:t>0.811</w:t>
            </w:r>
          </w:p>
        </w:tc>
        <w:tc>
          <w:tcPr>
            <w:tcW w:type="dxa" w:w="1398"/>
          </w:tcPr>
          <w:p>
            <w:pPr>
              <w:spacing w:lineRule="auto" w:line="276" w:after="0"/>
            </w:pPr>
            <w:r/>
            <w:r>
              <w:rPr>
                <w:rFonts w:ascii="바탕" w:hAnsi="바탕" w:eastAsia="바탕"/>
                <w:b w:val="0"/>
                <w:sz w:val="19"/>
              </w:rPr>
              <w:t>0.817</w:t>
            </w:r>
          </w:p>
        </w:tc>
      </w:tr>
      <w:tr>
        <w:tc>
          <w:tcPr>
            <w:tcW w:type="dxa" w:w="1398"/>
          </w:tcPr>
          <w:p>
            <w:pPr>
              <w:spacing w:lineRule="auto" w:line="276" w:after="0"/>
            </w:pPr>
            <w:r/>
            <w:r>
              <w:rPr>
                <w:rFonts w:ascii="바탕" w:hAnsi="바탕" w:eastAsia="바탕"/>
                <w:b w:val="0"/>
                <w:sz w:val="19"/>
              </w:rPr>
              <w:t>multi_hop</w:t>
            </w:r>
          </w:p>
        </w:tc>
        <w:tc>
          <w:tcPr>
            <w:tcW w:type="dxa" w:w="1398"/>
          </w:tcPr>
          <w:p>
            <w:pPr>
              <w:spacing w:lineRule="auto" w:line="276" w:after="0"/>
            </w:pPr>
            <w:r/>
            <w:r>
              <w:rPr>
                <w:rFonts w:ascii="바탕" w:hAnsi="바탕" w:eastAsia="바탕"/>
                <w:b w:val="0"/>
                <w:sz w:val="19"/>
              </w:rPr>
              <w:t>1,750</w:t>
            </w:r>
          </w:p>
        </w:tc>
        <w:tc>
          <w:tcPr>
            <w:tcW w:type="dxa" w:w="1398"/>
          </w:tcPr>
          <w:p>
            <w:pPr>
              <w:spacing w:lineRule="auto" w:line="276" w:after="0"/>
            </w:pPr>
            <w:r/>
            <w:r>
              <w:rPr>
                <w:rFonts w:ascii="바탕" w:hAnsi="바탕" w:eastAsia="바탕"/>
                <w:b w:val="0"/>
                <w:sz w:val="19"/>
              </w:rPr>
              <w:t>0.354</w:t>
            </w:r>
          </w:p>
        </w:tc>
        <w:tc>
          <w:tcPr>
            <w:tcW w:type="dxa" w:w="1398"/>
          </w:tcPr>
          <w:p>
            <w:pPr>
              <w:spacing w:lineRule="auto" w:line="276" w:after="0"/>
            </w:pPr>
            <w:r/>
            <w:r>
              <w:rPr>
                <w:rFonts w:ascii="바탕" w:hAnsi="바탕" w:eastAsia="바탕"/>
                <w:b w:val="0"/>
                <w:sz w:val="19"/>
              </w:rPr>
              <w:t>0.293</w:t>
            </w:r>
          </w:p>
        </w:tc>
        <w:tc>
          <w:tcPr>
            <w:tcW w:type="dxa" w:w="1398"/>
          </w:tcPr>
          <w:p>
            <w:pPr>
              <w:spacing w:lineRule="auto" w:line="276" w:after="0"/>
            </w:pPr>
            <w:r/>
            <w:r>
              <w:rPr>
                <w:rFonts w:ascii="바탕" w:hAnsi="바탕" w:eastAsia="바탕"/>
                <w:b w:val="0"/>
                <w:sz w:val="19"/>
              </w:rPr>
              <w:t>0.178</w:t>
            </w:r>
          </w:p>
        </w:tc>
        <w:tc>
          <w:tcPr>
            <w:tcW w:type="dxa" w:w="1398"/>
          </w:tcPr>
          <w:p>
            <w:pPr>
              <w:spacing w:lineRule="auto" w:line="276" w:after="0"/>
            </w:pPr>
            <w:r/>
            <w:r>
              <w:rPr>
                <w:rFonts w:ascii="바탕" w:hAnsi="바탕" w:eastAsia="바탕"/>
                <w:b w:val="0"/>
                <w:sz w:val="19"/>
              </w:rPr>
              <w:t>0.226</w:t>
            </w:r>
          </w:p>
        </w:tc>
      </w:tr>
      <w:tr>
        <w:tc>
          <w:tcPr>
            <w:tcW w:type="dxa" w:w="1398"/>
          </w:tcPr>
          <w:p>
            <w:pPr>
              <w:spacing w:lineRule="auto" w:line="276" w:after="0"/>
            </w:pPr>
            <w:r/>
            <w:r>
              <w:rPr>
                <w:rFonts w:ascii="바탕" w:hAnsi="바탕" w:eastAsia="바탕"/>
                <w:b w:val="0"/>
                <w:sz w:val="19"/>
              </w:rPr>
              <w:t>conditional</w:t>
            </w:r>
          </w:p>
        </w:tc>
        <w:tc>
          <w:tcPr>
            <w:tcW w:type="dxa" w:w="1398"/>
          </w:tcPr>
          <w:p>
            <w:pPr>
              <w:spacing w:lineRule="auto" w:line="276" w:after="0"/>
            </w:pPr>
            <w:r/>
            <w:r>
              <w:rPr>
                <w:rFonts w:ascii="바탕" w:hAnsi="바탕" w:eastAsia="바탕"/>
                <w:b w:val="0"/>
                <w:sz w:val="19"/>
              </w:rPr>
              <w:t>1,250</w:t>
            </w:r>
          </w:p>
        </w:tc>
        <w:tc>
          <w:tcPr>
            <w:tcW w:type="dxa" w:w="1398"/>
          </w:tcPr>
          <w:p>
            <w:pPr>
              <w:spacing w:lineRule="auto" w:line="276" w:after="0"/>
            </w:pPr>
            <w:r/>
            <w:r>
              <w:rPr>
                <w:rFonts w:ascii="바탕" w:hAnsi="바탕" w:eastAsia="바탕"/>
                <w:b w:val="0"/>
                <w:sz w:val="19"/>
              </w:rPr>
              <w:t>0.223</w:t>
            </w:r>
          </w:p>
        </w:tc>
        <w:tc>
          <w:tcPr>
            <w:tcW w:type="dxa" w:w="1398"/>
          </w:tcPr>
          <w:p>
            <w:pPr>
              <w:spacing w:lineRule="auto" w:line="276" w:after="0"/>
            </w:pPr>
            <w:r/>
            <w:r>
              <w:rPr>
                <w:rFonts w:ascii="바탕" w:hAnsi="바탕" w:eastAsia="바탕"/>
                <w:b w:val="0"/>
                <w:sz w:val="19"/>
              </w:rPr>
              <w:t>0.148</w:t>
            </w:r>
          </w:p>
        </w:tc>
        <w:tc>
          <w:tcPr>
            <w:tcW w:type="dxa" w:w="1398"/>
          </w:tcPr>
          <w:p>
            <w:pPr>
              <w:spacing w:lineRule="auto" w:line="276" w:after="0"/>
            </w:pPr>
            <w:r/>
            <w:r>
              <w:rPr>
                <w:rFonts w:ascii="바탕" w:hAnsi="바탕" w:eastAsia="바탕"/>
                <w:b w:val="0"/>
                <w:sz w:val="19"/>
              </w:rPr>
              <w:t>0.001</w:t>
            </w:r>
          </w:p>
        </w:tc>
        <w:tc>
          <w:tcPr>
            <w:tcW w:type="dxa" w:w="1398"/>
          </w:tcPr>
          <w:p>
            <w:pPr>
              <w:spacing w:lineRule="auto" w:line="276" w:after="0"/>
            </w:pPr>
            <w:r/>
            <w:r>
              <w:rPr>
                <w:rFonts w:ascii="바탕" w:hAnsi="바탕" w:eastAsia="바탕"/>
                <w:b w:val="0"/>
                <w:sz w:val="19"/>
              </w:rPr>
              <w:t>0.552</w:t>
            </w:r>
          </w:p>
        </w:tc>
      </w:tr>
    </w:tbl>
    <w:p>
      <w:pPr>
        <w:spacing w:lineRule="auto" w:line="480" w:after="0"/>
      </w:pPr>
      <w:r>
        <w:rPr>
          <w:rFonts w:ascii="바탕" w:hAnsi="바탕" w:eastAsia="바탕"/>
          <w:b w:val="0"/>
          <w:sz w:val="21"/>
        </w:rPr>
        <w:t>Simple 은 R-DWA 만으로도 0.87 수준의 강한 성능을 보이지만 (선행 보고된 F1 0.86 을 사실상 재현), multi_hop 과 conditional 에서 F1&lt;sub&gt;strict&lt;/sub&gt; 가 각각 0.354, 0.223 로 떨어진다. 이는 (i) 이 유형의 gold 답이 구조적으로 복수 항목 리스트여서 LLM 자연어 출력과의 토큰 매칭에 추가적인 형식 정렬이 필요하고, (ii) R-DWA 의 고정 가중치가 세부 특성에 둔감하기 때문이다. Ch.5 L-DWA 가 특히 conditional 에서 F1&lt;sub&gt;strict&lt;/sub&gt; 0.223 → 0.285 (3-seed 평균, +28.0%) 로 큰 개선을 보이는 점이 본 논문의 핵심 실증이다 (Ch.6 §4).</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JKSCI 보고</w:t>
            </w:r>
          </w:p>
        </w:tc>
        <w:tc>
          <w:tcPr>
            <w:tcW w:type="dxa" w:w="1678"/>
          </w:tcPr>
          <w:p>
            <w:pPr>
              <w:spacing w:lineRule="auto" w:line="276" w:after="0"/>
            </w:pPr>
            <w:r/>
            <w:r>
              <w:rPr>
                <w:rFonts w:ascii="바탕" w:hAnsi="바탕" w:eastAsia="바탕"/>
                <w:b/>
                <w:sz w:val="19"/>
              </w:rPr>
              <w:t>Sentence 프롬프트</w:t>
            </w:r>
          </w:p>
        </w:tc>
        <w:tc>
          <w:tcPr>
            <w:tcW w:type="dxa" w:w="1678"/>
          </w:tcPr>
          <w:p>
            <w:pPr>
              <w:spacing w:lineRule="auto" w:line="276" w:after="0"/>
            </w:pPr>
            <w:r/>
            <w:r>
              <w:rPr>
                <w:rFonts w:ascii="바탕" w:hAnsi="바탕" w:eastAsia="바탕"/>
                <w:b/>
                <w:sz w:val="19"/>
              </w:rPr>
              <w:t>List 프롬프트 (corrected)</w:t>
            </w:r>
          </w:p>
        </w:tc>
        <w:tc>
          <w:tcPr>
            <w:tcW w:type="dxa" w:w="1678"/>
          </w:tcPr>
          <w:p>
            <w:pPr>
              <w:spacing w:lineRule="auto" w:line="276" w:after="0"/>
            </w:pPr>
            <w:r/>
            <w:r>
              <w:rPr>
                <w:rFonts w:ascii="바탕" w:hAnsi="바탕" w:eastAsia="바탕"/>
                <w:b/>
                <w:sz w:val="19"/>
              </w:rPr>
              <w:t>재현율 (List 기준)</w:t>
            </w:r>
          </w:p>
        </w:tc>
      </w:tr>
      <w:tr>
        <w:tc>
          <w:tcPr>
            <w:tcW w:type="dxa" w:w="1678"/>
          </w:tcPr>
          <w:p>
            <w:pPr>
              <w:spacing w:lineRule="auto" w:line="276" w:after="0"/>
            </w:pPr>
            <w:r/>
            <w:r>
              <w:rPr>
                <w:rFonts w:ascii="바탕" w:hAnsi="바탕" w:eastAsia="바탕"/>
                <w:b w:val="0"/>
                <w:sz w:val="19"/>
              </w:rPr>
              <w:t>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0.448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61%, substring 56%</w:t>
            </w:r>
          </w:p>
        </w:tc>
      </w:tr>
      <w:tr>
        <w:tc>
          <w:tcPr>
            <w:tcW w:type="dxa" w:w="1678"/>
          </w:tcPr>
          <w:p>
            <w:pPr>
              <w:spacing w:lineRule="auto" w:line="276" w:after="0"/>
            </w:pPr>
            <w:r/>
            <w:r>
              <w:rPr>
                <w:rFonts w:ascii="바탕" w:hAnsi="바탕" w:eastAsia="바탕"/>
                <w:b w:val="0"/>
                <w:sz w:val="19"/>
              </w:rPr>
              <w:t>Simple-only F1</w:t>
            </w:r>
          </w:p>
        </w:tc>
        <w:tc>
          <w:tcPr>
            <w:tcW w:type="dxa" w:w="1678"/>
          </w:tcPr>
          <w:p>
            <w:pPr>
              <w:spacing w:lineRule="auto" w:line="276" w:after="0"/>
            </w:pPr>
            <w:r/>
            <w:r>
              <w:rPr>
                <w:rFonts w:ascii="바탕" w:hAnsi="바탕" w:eastAsia="바탕"/>
                <w:b w:val="0"/>
                <w:sz w:val="19"/>
              </w:rPr>
              <w:t>(분리 보고 없음)</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사실상 재현</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 (구조적)</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50%</w:t>
            </w:r>
          </w:p>
        </w:tc>
      </w:tr>
      <w:tr>
        <w:tc>
          <w:tcPr>
            <w:tcW w:type="dxa" w:w="1678"/>
          </w:tcPr>
          <w:p>
            <w:pPr>
              <w:spacing w:lineRule="auto" w:line="276" w:after="0"/>
            </w:pPr>
            <w:r/>
            <w:r>
              <w:rPr>
                <w:rFonts w:ascii="바탕" w:hAnsi="바탕" w:eastAsia="바탕"/>
                <w:b w:val="0"/>
                <w:sz w:val="19"/>
              </w:rPr>
              <w:t>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w:t>
            </w:r>
          </w:p>
        </w:tc>
      </w:tr>
    </w:tbl>
    <w:p>
      <w:pPr>
        <w:spacing w:lineRule="auto" w:line="480" w:after="0"/>
      </w:pPr>
      <w:r>
        <w:rPr>
          <w:rFonts w:ascii="바탕" w:hAnsi="바탕" w:eastAsia="바탕"/>
          <w:b w:val="0"/>
          <w:sz w:val="21"/>
        </w:rPr>
        <w:t>Sentence 프롬프트 만으로는 F1 격차가 컸으나 평가 인프라 변경 없이 출력 형식만 List 로 정렬하면 F1&lt;sub&gt;strict&lt;/sub&gt; 가 0.529 로 회복되고, 특히 Simple 유형만 보면 0.874 로 JKSCI 의 0.86 을 사실상 재현 한다. 이는 선행 보고가 Simple-subset 혹은 short-list gold 기반이었음을 시사하며, 본 논문은 두 단계 (sentence / list) 를 병기 하여 선행 연구와의 연속성·재현성과 엄격 재평가를 동시에 제공한다 (Ch.6 §3.3 상세, 부록 C 평가기 변경 기록).</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spacing w:lineRule="auto" w:line="480" w:after="0"/>
      </w:pPr>
      <w:r>
        <w:rPr>
          <w:rFonts w:ascii="바탕" w:hAnsi="바탕" w:eastAsia="바탕"/>
          <w:b w:val="0"/>
          <w:sz w:val="21"/>
        </w:rPr>
        <w:t>비교 누락 주석. 본 표에는 Uniform (1/3, 1/3, 1/3) 정책의 list-prompt 측정이 포함되지 않았다. 동일 정책의 cache regime 측정 (sentence prompt, 표 6-2c §3 아) 에서는 Uniform 이 R-DWA 를 통계적으로 유의하게 능가하는 것이 확인되었으며, list-prompt regime 에서의 동일 비교는 §8 나의 1순위 향후 연구로 명시한다. 이 주석은 헤드라인 결과의 적용 범위 (corrected baseline + L-DWA vs R-DWA 의 비교) 를 정직하게 한정하기 위한 것이다.</w:t>
      </w:r>
    </w:p>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F1&lt;sub&gt;strict&lt;/sub&gt; R-DWA 0.223 vs L-DWA 3-seed 평균 0.285 (+27.8%), Oracle 0.290 과 사실상 동등. F1&lt;sub&gt;substring&lt;/sub&gt; 으로는 R-DWA 0.148 vs L-DWA 0.190 (+28.6%), Oracle 0.201 과 동등 수준이다.</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얼마나 접근 (혹은 초과) 하는지가 학습 유효성의 증거. Corrected baseline (List 프롬프트, 5,000 QA, 3-seed 평균)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(3-seed) | Oracle | Δ (L−Oracle)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+0.008 (Oracle 초과) |</w:t>
      </w:r>
    </w:p>
    <w:p>
      <w:pPr>
        <w:spacing w:lineRule="auto" w:line="360" w:after="0"/>
        <w:ind w:left="567"/>
      </w:pPr>
      <w:r>
        <w:rPr>
          <w:rFonts w:ascii="바탕" w:hAnsi="바탕" w:eastAsia="바탕"/>
          <w:b w:val="0"/>
          <w:sz w:val="20"/>
        </w:rPr>
        <w:t>▸ | F1&lt;sub&gt;substring&lt;/sub&gt; | 0.482 | 0.507 ± 0.009 | 0.504 | +0.003 (Oracle 초과) |</w:t>
      </w:r>
    </w:p>
    <w:p>
      <w:pPr>
        <w:spacing w:lineRule="auto" w:line="360" w:after="0"/>
        <w:ind w:left="567"/>
      </w:pPr>
      <w:r>
        <w:rPr>
          <w:rFonts w:ascii="바탕" w:hAnsi="바탕" w:eastAsia="바탕"/>
          <w:b w:val="0"/>
          <w:sz w:val="20"/>
        </w:rPr>
        <w:t>▸ | F1&lt;sub&gt;char&lt;/sub&gt; | 0.469 | 0.494 ± 0.010 | 0.487 | +0.007 (Oracle 초과) |</w:t>
      </w:r>
    </w:p>
    <w:p>
      <w:pPr>
        <w:spacing w:lineRule="auto" w:line="360" w:after="0"/>
        <w:ind w:left="567"/>
      </w:pPr>
      <w:r>
        <w:rPr>
          <w:rFonts w:ascii="바탕" w:hAnsi="바탕" w:eastAsia="바탕"/>
          <w:b w:val="0"/>
          <w:sz w:val="20"/>
        </w:rPr>
        <w:t>▸ | EM | 0.387 | 0.388 ± 0.001 | 0.388 | ≈ 0 (Oracle 동등) |</w:t>
      </w:r>
    </w:p>
    <w:p>
      <w:pPr>
        <w:spacing w:lineRule="auto" w:line="360" w:after="0"/>
        <w:ind w:left="567"/>
      </w:pPr>
      <w:r>
        <w:rPr>
          <w:rFonts w:ascii="바탕" w:hAnsi="바탕" w:eastAsia="바탕"/>
          <w:b w:val="0"/>
          <w:sz w:val="20"/>
        </w:rPr>
        <w:t>▸ | Faithfulness | 0.544 | 0.580 ± 0.009 | 0.570 | +0.010 (Oracle 초과)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 가 5개 지표 중 4개에서 Oracle 을 초과 한다. Oracle 은 66-점 이산 격자에서의 per-query argmax 인 반면 L-DWA 는 Δ³ simplex 의 연속 가중치 공간을 학습한다. 따라서 L-DWA 의 Dirichlet 평균이 격자 바깥의 더 좋은 점을 활용한다는 해석이 자연스럽다 (자세한 분석은 §3.2).</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3"/>
        <w:spacing w:lineRule="auto" w:line="360" w:after="160"/>
      </w:pPr>
      <w:r>
        <w:rPr>
          <w:rFonts w:ascii="바탕" w:hAnsi="바탕" w:eastAsia="바탕"/>
          <w:b/>
          <w:sz w:val="22"/>
        </w:rPr>
        <w:t>아. 통계적 유의성 — Paired Bootstrap (BCa 95% CI)</w:t>
      </w:r>
    </w:p>
    <w:p>
      <w:pPr>
        <w:spacing w:lineRule="auto" w:line="480" w:after="0"/>
      </w:pPr>
      <w:r>
        <w:rPr>
          <w:rFonts w:ascii="바탕" w:hAnsi="바탕" w:eastAsia="바탕"/>
          <w:b w:val="0"/>
          <w:sz w:val="21"/>
        </w:rPr>
        <w:t>§3 나의 헤드라인 표는 정책별 평균과 표준편차만 제시한다. 차이의 크기가 표본 변동에 비해 충분함을 시사하지만 정량적 근거로는 약하다. 본 항은 5,000 query-level 측정값에 대해 paired bootstrap (BCa 보정 95% CI, 5,000 resamples) 을 적용하여 정책 간 차이의 통계적 유의성과 효과 크기 (Cohen's d&lt;sub&gt;z&lt;/sub&gt;) 를 함께 보고한다. 분석 단위는 cache evaluator 위의 동일한 5,000 QA 이고, 모든 정책이 동일 reward 함수를 거치므로 within-policy 비교의 순위 타당성은 절대값과 무관하게 유지된다.</w:t>
      </w:r>
    </w:p>
    <w:p>
      <w:pPr>
        <w:pStyle w:val="Heading4"/>
        <w:spacing w:lineRule="auto" w:line="360" w:after="160"/>
      </w:pPr>
      <w:r>
        <w:rPr>
          <w:rFonts w:ascii="바탕" w:hAnsi="바탕" w:eastAsia="바탕"/>
          <w:b/>
          <w:sz w:val="24"/>
        </w:rPr>
        <w:t>[표 6-2c] Paired bootstrap — 정책 vs R-DWA (Cache regime, F1)</w:t>
      </w:r>
    </w:p>
    <w:tbl>
      <w:tblPr>
        <w:tblStyle w:val="TableGrid"/>
        <w:tblW w:type="auto" w:w="0"/>
        <w:tblLook w:firstColumn="1" w:firstRow="1" w:lastColumn="0" w:lastRow="0" w:noHBand="0" w:noVBand="1" w:val="04A0"/>
      </w:tblPr>
      <w:tblGrid>
        <w:gridCol w:w="1049"/>
        <w:gridCol w:w="1049"/>
        <w:gridCol w:w="1049"/>
        <w:gridCol w:w="1049"/>
        <w:gridCol w:w="1049"/>
        <w:gridCol w:w="1049"/>
        <w:gridCol w:w="1049"/>
        <w:gridCol w:w="1049"/>
      </w:tblGrid>
      <w:tr>
        <w:tc>
          <w:tcPr>
            <w:tcW w:type="dxa" w:w="1049"/>
          </w:tcPr>
          <w:p>
            <w:pPr>
              <w:spacing w:lineRule="auto" w:line="276" w:after="0"/>
            </w:pPr>
            <w:r/>
            <w:r>
              <w:rPr>
                <w:rFonts w:ascii="바탕" w:hAnsi="바탕" w:eastAsia="바탕"/>
                <w:b/>
                <w:sz w:val="19"/>
              </w:rPr>
              <w:t>정책</w:t>
            </w:r>
          </w:p>
        </w:tc>
        <w:tc>
          <w:tcPr>
            <w:tcW w:type="dxa" w:w="1049"/>
          </w:tcPr>
          <w:p>
            <w:pPr>
              <w:spacing w:lineRule="auto" w:line="276" w:after="0"/>
            </w:pPr>
            <w:r/>
            <w:r>
              <w:rPr>
                <w:rFonts w:ascii="바탕" w:hAnsi="바탕" w:eastAsia="바탕"/>
                <w:b/>
                <w:sz w:val="19"/>
              </w:rPr>
              <w:t>mean (정책)</w:t>
            </w:r>
          </w:p>
        </w:tc>
        <w:tc>
          <w:tcPr>
            <w:tcW w:type="dxa" w:w="1049"/>
          </w:tcPr>
          <w:p>
            <w:pPr>
              <w:spacing w:lineRule="auto" w:line="276" w:after="0"/>
            </w:pPr>
            <w:r/>
            <w:r>
              <w:rPr>
                <w:rFonts w:ascii="바탕" w:hAnsi="바탕" w:eastAsia="바탕"/>
                <w:b/>
                <w:sz w:val="19"/>
              </w:rPr>
              <w:t>mean (R-DWA)</w:t>
            </w:r>
          </w:p>
        </w:tc>
        <w:tc>
          <w:tcPr>
            <w:tcW w:type="dxa" w:w="1049"/>
          </w:tcPr>
          <w:p>
            <w:pPr>
              <w:spacing w:lineRule="auto" w:line="276" w:after="0"/>
            </w:pPr>
            <w:r/>
            <w:r>
              <w:rPr>
                <w:rFonts w:ascii="바탕" w:hAnsi="바탕" w:eastAsia="바탕"/>
                <w:b/>
                <w:sz w:val="19"/>
              </w:rPr>
              <w:t>Δ</w:t>
            </w:r>
          </w:p>
        </w:tc>
        <w:tc>
          <w:tcPr>
            <w:tcW w:type="dxa" w:w="1049"/>
          </w:tcPr>
          <w:p>
            <w:pPr>
              <w:spacing w:lineRule="auto" w:line="276" w:after="0"/>
            </w:pPr>
            <w:r/>
            <w:r>
              <w:rPr>
                <w:rFonts w:ascii="바탕" w:hAnsi="바탕" w:eastAsia="바탕"/>
                <w:b/>
                <w:sz w:val="19"/>
              </w:rPr>
              <w:t>95% CI (BCa)</w:t>
            </w:r>
          </w:p>
        </w:tc>
        <w:tc>
          <w:tcPr>
            <w:tcW w:type="dxa" w:w="1049"/>
          </w:tcPr>
          <w:p>
            <w:pPr>
              <w:spacing w:lineRule="auto" w:line="276" w:after="0"/>
            </w:pPr>
            <w:r/>
            <w:r>
              <w:rPr>
                <w:rFonts w:ascii="바탕" w:hAnsi="바탕" w:eastAsia="바탕"/>
                <w:b/>
                <w:sz w:val="19"/>
              </w:rPr>
              <w:t>p (2-sided)</w:t>
            </w:r>
          </w:p>
        </w:tc>
        <w:tc>
          <w:tcPr>
            <w:tcW w:type="dxa" w:w="1049"/>
          </w:tcPr>
          <w:p>
            <w:pPr>
              <w:spacing w:lineRule="auto" w:line="276" w:after="0"/>
            </w:pPr>
            <w:r/>
            <w:r>
              <w:rPr>
                <w:rFonts w:ascii="바탕" w:hAnsi="바탕" w:eastAsia="바탕"/>
                <w:b/>
                <w:sz w:val="19"/>
              </w:rPr>
              <w:t>Cohen's d&lt;sub&gt;z&lt;/sub&gt;</w:t>
            </w:r>
          </w:p>
        </w:tc>
        <w:tc>
          <w:tcPr>
            <w:tcW w:type="dxa" w:w="1049"/>
          </w:tcPr>
          <w:p>
            <w:pPr>
              <w:spacing w:lineRule="auto" w:line="276" w:after="0"/>
            </w:pPr>
            <w:r/>
            <w:r>
              <w:rPr>
                <w:rFonts w:ascii="바탕" w:hAnsi="바탕" w:eastAsia="바탕"/>
                <w:b/>
                <w:sz w:val="19"/>
              </w:rPr>
              <w:t>판정</w:t>
            </w:r>
          </w:p>
        </w:tc>
      </w:tr>
      <w:tr>
        <w:tc>
          <w:tcPr>
            <w:tcW w:type="dxa" w:w="1049"/>
          </w:tcPr>
          <w:p>
            <w:pPr>
              <w:spacing w:lineRule="auto" w:line="276" w:after="0"/>
            </w:pPr>
            <w:r/>
            <w:r>
              <w:rPr>
                <w:rFonts w:ascii="바탕" w:hAnsi="바탕" w:eastAsia="바탕"/>
                <w:b w:val="0"/>
                <w:sz w:val="19"/>
              </w:rPr>
              <w:t>Uniform (1/3, 1/3, 1/3)</w:t>
            </w:r>
          </w:p>
        </w:tc>
        <w:tc>
          <w:tcPr>
            <w:tcW w:type="dxa" w:w="1049"/>
          </w:tcPr>
          <w:p>
            <w:pPr>
              <w:spacing w:lineRule="auto" w:line="276" w:after="0"/>
            </w:pPr>
            <w:r/>
            <w:r>
              <w:rPr>
                <w:rFonts w:ascii="바탕" w:hAnsi="바탕" w:eastAsia="바탕"/>
                <w:b w:val="0"/>
                <w:sz w:val="19"/>
              </w:rPr>
              <w:t>0.0827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+0.0114</w:t>
            </w:r>
          </w:p>
        </w:tc>
        <w:tc>
          <w:tcPr>
            <w:tcW w:type="dxa" w:w="1049"/>
          </w:tcPr>
          <w:p>
            <w:pPr>
              <w:spacing w:lineRule="auto" w:line="276" w:after="0"/>
            </w:pPr>
            <w:r/>
            <w:r>
              <w:rPr>
                <w:rFonts w:ascii="바탕" w:hAnsi="바탕" w:eastAsia="바탕"/>
                <w:b w:val="0"/>
                <w:sz w:val="19"/>
              </w:rPr>
              <w:t>[+0.0091, +0.0138]</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+0.135</w:t>
            </w:r>
          </w:p>
        </w:tc>
        <w:tc>
          <w:tcPr>
            <w:tcW w:type="dxa" w:w="1049"/>
          </w:tcPr>
          <w:p>
            <w:pPr>
              <w:spacing w:lineRule="auto" w:line="276" w:after="0"/>
            </w:pPr>
            <w:r/>
            <w:r>
              <w:rPr>
                <w:rFonts w:ascii="바탕" w:hAnsi="바탕" w:eastAsia="바탕"/>
                <w:b w:val="0"/>
                <w:sz w:val="19"/>
              </w:rPr>
              <w:t>✅ Uniform 우위</w:t>
            </w:r>
          </w:p>
        </w:tc>
      </w:tr>
      <w:tr>
        <w:tc>
          <w:tcPr>
            <w:tcW w:type="dxa" w:w="1049"/>
          </w:tcPr>
          <w:p>
            <w:pPr>
              <w:spacing w:lineRule="auto" w:line="276" w:after="0"/>
            </w:pPr>
            <w:r/>
            <w:r>
              <w:rPr>
                <w:rFonts w:ascii="바탕" w:hAnsi="바탕" w:eastAsia="바탕"/>
                <w:b w:val="0"/>
                <w:sz w:val="19"/>
              </w:rPr>
              <w:t>Vector-only</w:t>
            </w:r>
          </w:p>
        </w:tc>
        <w:tc>
          <w:tcPr>
            <w:tcW w:type="dxa" w:w="1049"/>
          </w:tcPr>
          <w:p>
            <w:pPr>
              <w:spacing w:lineRule="auto" w:line="276" w:after="0"/>
            </w:pPr>
            <w:r/>
            <w:r>
              <w:rPr>
                <w:rFonts w:ascii="바탕" w:hAnsi="바탕" w:eastAsia="바탕"/>
                <w:b w:val="0"/>
                <w:sz w:val="19"/>
              </w:rPr>
              <w:t>0.0820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+0.0107</w:t>
            </w:r>
          </w:p>
        </w:tc>
        <w:tc>
          <w:tcPr>
            <w:tcW w:type="dxa" w:w="1049"/>
          </w:tcPr>
          <w:p>
            <w:pPr>
              <w:spacing w:lineRule="auto" w:line="276" w:after="0"/>
            </w:pPr>
            <w:r/>
            <w:r>
              <w:rPr>
                <w:rFonts w:ascii="바탕" w:hAnsi="바탕" w:eastAsia="바탕"/>
                <w:b w:val="0"/>
                <w:sz w:val="19"/>
              </w:rPr>
              <w:t>[+0.0080, +0.0132]</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+0.114</w:t>
            </w:r>
          </w:p>
        </w:tc>
        <w:tc>
          <w:tcPr>
            <w:tcW w:type="dxa" w:w="1049"/>
          </w:tcPr>
          <w:p>
            <w:pPr>
              <w:spacing w:lineRule="auto" w:line="276" w:after="0"/>
            </w:pPr>
            <w:r/>
            <w:r>
              <w:rPr>
                <w:rFonts w:ascii="바탕" w:hAnsi="바탕" w:eastAsia="바탕"/>
                <w:b w:val="0"/>
                <w:sz w:val="19"/>
              </w:rPr>
              <w:t>✅ Vector 우위</w:t>
            </w:r>
          </w:p>
        </w:tc>
      </w:tr>
      <w:tr>
        <w:tc>
          <w:tcPr>
            <w:tcW w:type="dxa" w:w="1049"/>
          </w:tcPr>
          <w:p>
            <w:pPr>
              <w:spacing w:lineRule="auto" w:line="276" w:after="0"/>
            </w:pPr>
            <w:r/>
            <w:r>
              <w:rPr>
                <w:rFonts w:ascii="바탕" w:hAnsi="바탕" w:eastAsia="바탕"/>
                <w:b w:val="0"/>
                <w:sz w:val="19"/>
              </w:rPr>
              <w:t>Graph-only</w:t>
            </w:r>
          </w:p>
        </w:tc>
        <w:tc>
          <w:tcPr>
            <w:tcW w:type="dxa" w:w="1049"/>
          </w:tcPr>
          <w:p>
            <w:pPr>
              <w:spacing w:lineRule="auto" w:line="276" w:after="0"/>
            </w:pPr>
            <w:r/>
            <w:r>
              <w:rPr>
                <w:rFonts w:ascii="바탕" w:hAnsi="바탕" w:eastAsia="바탕"/>
                <w:b w:val="0"/>
                <w:sz w:val="19"/>
              </w:rPr>
              <w:t>0.0434</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-0.0279</w:t>
            </w:r>
          </w:p>
        </w:tc>
        <w:tc>
          <w:tcPr>
            <w:tcW w:type="dxa" w:w="1049"/>
          </w:tcPr>
          <w:p>
            <w:pPr>
              <w:spacing w:lineRule="auto" w:line="276" w:after="0"/>
            </w:pPr>
            <w:r/>
            <w:r>
              <w:rPr>
                <w:rFonts w:ascii="바탕" w:hAnsi="바탕" w:eastAsia="바탕"/>
                <w:b w:val="0"/>
                <w:sz w:val="19"/>
              </w:rPr>
              <w:t>[-0.0309, -0.0249]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-0.256</w:t>
            </w:r>
          </w:p>
        </w:tc>
        <w:tc>
          <w:tcPr>
            <w:tcW w:type="dxa" w:w="1049"/>
          </w:tcPr>
          <w:p>
            <w:pPr>
              <w:spacing w:lineRule="auto" w:line="276" w:after="0"/>
            </w:pPr>
            <w:r/>
            <w:r>
              <w:rPr>
                <w:rFonts w:ascii="바탕" w:hAnsi="바탕" w:eastAsia="바탕"/>
                <w:b w:val="0"/>
                <w:sz w:val="19"/>
              </w:rPr>
              <w:t>❌ Graph 열위</w:t>
            </w:r>
          </w:p>
        </w:tc>
      </w:tr>
      <w:tr>
        <w:tc>
          <w:tcPr>
            <w:tcW w:type="dxa" w:w="1049"/>
          </w:tcPr>
          <w:p>
            <w:pPr>
              <w:spacing w:lineRule="auto" w:line="276" w:after="0"/>
            </w:pPr>
            <w:r/>
            <w:r>
              <w:rPr>
                <w:rFonts w:ascii="바탕" w:hAnsi="바탕" w:eastAsia="바탕"/>
                <w:b w:val="0"/>
                <w:sz w:val="19"/>
              </w:rPr>
              <w:t>Ontology-only</w:t>
            </w:r>
          </w:p>
        </w:tc>
        <w:tc>
          <w:tcPr>
            <w:tcW w:type="dxa" w:w="1049"/>
          </w:tcPr>
          <w:p>
            <w:pPr>
              <w:spacing w:lineRule="auto" w:line="276" w:after="0"/>
            </w:pPr>
            <w:r/>
            <w:r>
              <w:rPr>
                <w:rFonts w:ascii="바탕" w:hAnsi="바탕" w:eastAsia="바탕"/>
                <w:b w:val="0"/>
                <w:sz w:val="19"/>
              </w:rPr>
              <w:t>0.0446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-0.0267</w:t>
            </w:r>
          </w:p>
        </w:tc>
        <w:tc>
          <w:tcPr>
            <w:tcW w:type="dxa" w:w="1049"/>
          </w:tcPr>
          <w:p>
            <w:pPr>
              <w:spacing w:lineRule="auto" w:line="276" w:after="0"/>
            </w:pPr>
            <w:r/>
            <w:r>
              <w:rPr>
                <w:rFonts w:ascii="바탕" w:hAnsi="바탕" w:eastAsia="바탕"/>
                <w:b w:val="0"/>
                <w:sz w:val="19"/>
              </w:rPr>
              <w:t>[-0.0300, -0.0234]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-0.227</w:t>
            </w:r>
          </w:p>
        </w:tc>
        <w:tc>
          <w:tcPr>
            <w:tcW w:type="dxa" w:w="1049"/>
          </w:tcPr>
          <w:p>
            <w:pPr>
              <w:spacing w:lineRule="auto" w:line="276" w:after="0"/>
            </w:pPr>
            <w:r/>
            <w:r>
              <w:rPr>
                <w:rFonts w:ascii="바탕" w:hAnsi="바탕" w:eastAsia="바탕"/>
                <w:b w:val="0"/>
                <w:sz w:val="19"/>
              </w:rPr>
              <w:t>❌ Ont 열위</w:t>
            </w:r>
          </w:p>
        </w:tc>
      </w:tr>
      <w:tr>
        <w:tc>
          <w:tcPr>
            <w:tcW w:type="dxa" w:w="1049"/>
          </w:tcPr>
          <w:p>
            <w:pPr>
              <w:spacing w:lineRule="auto" w:line="276" w:after="0"/>
            </w:pPr>
            <w:r/>
            <w:r>
              <w:rPr>
                <w:rFonts w:ascii="바탕" w:hAnsi="바탕" w:eastAsia="바탕"/>
                <w:b w:val="0"/>
                <w:sz w:val="19"/>
              </w:rPr>
              <w:t>L-DWA seed 42</w:t>
            </w:r>
          </w:p>
        </w:tc>
        <w:tc>
          <w:tcPr>
            <w:tcW w:type="dxa" w:w="1049"/>
          </w:tcPr>
          <w:p>
            <w:pPr>
              <w:spacing w:lineRule="auto" w:line="276" w:after="0"/>
            </w:pPr>
            <w:r/>
            <w:r>
              <w:rPr>
                <w:rFonts w:ascii="바탕" w:hAnsi="바탕" w:eastAsia="바탕"/>
                <w:b w:val="0"/>
                <w:sz w:val="19"/>
              </w:rPr>
              <w:t>0.0860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+0.0147</w:t>
            </w:r>
          </w:p>
        </w:tc>
        <w:tc>
          <w:tcPr>
            <w:tcW w:type="dxa" w:w="1049"/>
          </w:tcPr>
          <w:p>
            <w:pPr>
              <w:spacing w:lineRule="auto" w:line="276" w:after="0"/>
            </w:pPr>
            <w:r/>
            <w:r>
              <w:rPr>
                <w:rFonts w:ascii="바탕" w:hAnsi="바탕" w:eastAsia="바탕"/>
                <w:b w:val="0"/>
                <w:sz w:val="19"/>
              </w:rPr>
              <w:t>[+0.0123, +0.0170]</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+0.174</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123</w:t>
            </w:r>
          </w:p>
        </w:tc>
        <w:tc>
          <w:tcPr>
            <w:tcW w:type="dxa" w:w="1049"/>
          </w:tcPr>
          <w:p>
            <w:pPr>
              <w:spacing w:lineRule="auto" w:line="276" w:after="0"/>
            </w:pPr>
            <w:r/>
            <w:r>
              <w:rPr>
                <w:rFonts w:ascii="바탕" w:hAnsi="바탕" w:eastAsia="바탕"/>
                <w:b w:val="0"/>
                <w:sz w:val="19"/>
              </w:rPr>
              <w:t>0.0856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+0.0143</w:t>
            </w:r>
          </w:p>
        </w:tc>
        <w:tc>
          <w:tcPr>
            <w:tcW w:type="dxa" w:w="1049"/>
          </w:tcPr>
          <w:p>
            <w:pPr>
              <w:spacing w:lineRule="auto" w:line="276" w:after="0"/>
            </w:pPr>
            <w:r/>
            <w:r>
              <w:rPr>
                <w:rFonts w:ascii="바탕" w:hAnsi="바탕" w:eastAsia="바탕"/>
                <w:b w:val="0"/>
                <w:sz w:val="19"/>
              </w:rPr>
              <w:t>[+0.0120, +0.0167]</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+0.173</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999</w:t>
            </w:r>
          </w:p>
        </w:tc>
        <w:tc>
          <w:tcPr>
            <w:tcW w:type="dxa" w:w="1049"/>
          </w:tcPr>
          <w:p>
            <w:pPr>
              <w:spacing w:lineRule="auto" w:line="276" w:after="0"/>
            </w:pPr>
            <w:r/>
            <w:r>
              <w:rPr>
                <w:rFonts w:ascii="바탕" w:hAnsi="바탕" w:eastAsia="바탕"/>
                <w:b w:val="0"/>
                <w:sz w:val="19"/>
              </w:rPr>
              <w:t>0.0838</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+0.0125</w:t>
            </w:r>
          </w:p>
        </w:tc>
        <w:tc>
          <w:tcPr>
            <w:tcW w:type="dxa" w:w="1049"/>
          </w:tcPr>
          <w:p>
            <w:pPr>
              <w:spacing w:lineRule="auto" w:line="276" w:after="0"/>
            </w:pPr>
            <w:r/>
            <w:r>
              <w:rPr>
                <w:rFonts w:ascii="바탕" w:hAnsi="바탕" w:eastAsia="바탕"/>
                <w:b w:val="0"/>
                <w:sz w:val="19"/>
              </w:rPr>
              <w:t>[+0.0101, +0.0149]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+0.146</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Oracle (per-q argmax)</w:t>
            </w:r>
          </w:p>
        </w:tc>
        <w:tc>
          <w:tcPr>
            <w:tcW w:type="dxa" w:w="1049"/>
          </w:tcPr>
          <w:p>
            <w:pPr>
              <w:spacing w:lineRule="auto" w:line="276" w:after="0"/>
            </w:pPr>
            <w:r/>
            <w:r>
              <w:rPr>
                <w:rFonts w:ascii="바탕" w:hAnsi="바탕" w:eastAsia="바탕"/>
                <w:b w:val="0"/>
                <w:sz w:val="19"/>
              </w:rPr>
              <w:t>0.1207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+0.0494</w:t>
            </w:r>
          </w:p>
        </w:tc>
        <w:tc>
          <w:tcPr>
            <w:tcW w:type="dxa" w:w="1049"/>
          </w:tcPr>
          <w:p>
            <w:pPr>
              <w:spacing w:lineRule="auto" w:line="276" w:after="0"/>
            </w:pPr>
            <w:r/>
            <w:r>
              <w:rPr>
                <w:rFonts w:ascii="바탕" w:hAnsi="바탕" w:eastAsia="바탕"/>
                <w:b w:val="0"/>
                <w:sz w:val="19"/>
              </w:rPr>
              <w:t>[+0.0464, +0.0524]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+0.456</w:t>
            </w:r>
          </w:p>
        </w:tc>
        <w:tc>
          <w:tcPr>
            <w:tcW w:type="dxa" w:w="1049"/>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[표 6-2d] Paired bootstrap — 정책 vs Uniform (Cache regime, F1)</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Δ vs Uniform</w:t>
            </w:r>
          </w:p>
        </w:tc>
        <w:tc>
          <w:tcPr>
            <w:tcW w:type="dxa" w:w="1398"/>
          </w:tcPr>
          <w:p>
            <w:pPr>
              <w:spacing w:lineRule="auto" w:line="276" w:after="0"/>
            </w:pPr>
            <w:r/>
            <w:r>
              <w:rPr>
                <w:rFonts w:ascii="바탕" w:hAnsi="바탕" w:eastAsia="바탕"/>
                <w:b/>
                <w:sz w:val="19"/>
              </w:rPr>
              <w:t>95% CI (BCa)</w:t>
            </w:r>
          </w:p>
        </w:tc>
        <w:tc>
          <w:tcPr>
            <w:tcW w:type="dxa" w:w="1398"/>
          </w:tcPr>
          <w:p>
            <w:pPr>
              <w:spacing w:lineRule="auto" w:line="276" w:after="0"/>
            </w:pPr>
            <w:r/>
            <w:r>
              <w:rPr>
                <w:rFonts w:ascii="바탕" w:hAnsi="바탕" w:eastAsia="바탕"/>
                <w:b/>
                <w:sz w:val="19"/>
              </w:rPr>
              <w:t>p (2-sided)</w:t>
            </w:r>
          </w:p>
        </w:tc>
        <w:tc>
          <w:tcPr>
            <w:tcW w:type="dxa" w:w="1398"/>
          </w:tcPr>
          <w:p>
            <w:pPr>
              <w:spacing w:lineRule="auto" w:line="276" w:after="0"/>
            </w:pPr>
            <w:r/>
            <w:r>
              <w:rPr>
                <w:rFonts w:ascii="바탕" w:hAnsi="바탕" w:eastAsia="바탕"/>
                <w:b/>
                <w:sz w:val="19"/>
              </w:rPr>
              <w:t>d&lt;sub&gt;z&lt;/sub&gt;</w:t>
            </w:r>
          </w:p>
        </w:tc>
        <w:tc>
          <w:tcPr>
            <w:tcW w:type="dxa" w:w="1398"/>
          </w:tcPr>
          <w:p>
            <w:pPr>
              <w:spacing w:lineRule="auto" w:line="276" w:after="0"/>
            </w:pPr>
            <w:r/>
            <w:r>
              <w:rPr>
                <w:rFonts w:ascii="바탕" w:hAnsi="바탕" w:eastAsia="바탕"/>
                <w:b/>
                <w:sz w:val="19"/>
              </w:rPr>
              <w:t>판정</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-0.0114</w:t>
            </w:r>
          </w:p>
        </w:tc>
        <w:tc>
          <w:tcPr>
            <w:tcW w:type="dxa" w:w="1398"/>
          </w:tcPr>
          <w:p>
            <w:pPr>
              <w:spacing w:lineRule="auto" w:line="276" w:after="0"/>
            </w:pPr>
            <w:r/>
            <w:r>
              <w:rPr>
                <w:rFonts w:ascii="바탕" w:hAnsi="바탕" w:eastAsia="바탕"/>
                <w:b w:val="0"/>
                <w:sz w:val="19"/>
              </w:rPr>
              <w:t>[-0.0138, -0.0091]</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-0.135</w:t>
            </w:r>
          </w:p>
        </w:tc>
        <w:tc>
          <w:tcPr>
            <w:tcW w:type="dxa" w:w="1398"/>
          </w:tcPr>
          <w:p>
            <w:pPr>
              <w:spacing w:lineRule="auto" w:line="276" w:after="0"/>
            </w:pPr>
            <w:r/>
            <w:r>
              <w:rPr>
                <w:rFonts w:ascii="바탕" w:hAnsi="바탕" w:eastAsia="바탕"/>
                <w:b w:val="0"/>
                <w:sz w:val="19"/>
              </w:rPr>
              <w:t>❌ R-DWA 열위</w:t>
            </w:r>
          </w:p>
        </w:tc>
      </w:tr>
      <w:tr>
        <w:tc>
          <w:tcPr>
            <w:tcW w:type="dxa" w:w="1398"/>
          </w:tcPr>
          <w:p>
            <w:pPr>
              <w:spacing w:lineRule="auto" w:line="276" w:after="0"/>
            </w:pPr>
            <w:r/>
            <w:r>
              <w:rPr>
                <w:rFonts w:ascii="바탕" w:hAnsi="바탕" w:eastAsia="바탕"/>
                <w:b w:val="0"/>
                <w:sz w:val="19"/>
              </w:rPr>
              <w:t>Vector-only</w:t>
            </w:r>
          </w:p>
        </w:tc>
        <w:tc>
          <w:tcPr>
            <w:tcW w:type="dxa" w:w="1398"/>
          </w:tcPr>
          <w:p>
            <w:pPr>
              <w:spacing w:lineRule="auto" w:line="276" w:after="0"/>
            </w:pPr>
            <w:r/>
            <w:r>
              <w:rPr>
                <w:rFonts w:ascii="바탕" w:hAnsi="바탕" w:eastAsia="바탕"/>
                <w:b w:val="0"/>
                <w:sz w:val="19"/>
              </w:rPr>
              <w:t>-0.0007</w:t>
            </w:r>
          </w:p>
        </w:tc>
        <w:tc>
          <w:tcPr>
            <w:tcW w:type="dxa" w:w="1398"/>
          </w:tcPr>
          <w:p>
            <w:pPr>
              <w:spacing w:lineRule="auto" w:line="276" w:after="0"/>
            </w:pPr>
            <w:r/>
            <w:r>
              <w:rPr>
                <w:rFonts w:ascii="바탕" w:hAnsi="바탕" w:eastAsia="바탕"/>
                <w:b w:val="0"/>
                <w:sz w:val="19"/>
              </w:rPr>
              <w:t>[-0.0033, +0.0017]</w:t>
            </w:r>
          </w:p>
        </w:tc>
        <w:tc>
          <w:tcPr>
            <w:tcW w:type="dxa" w:w="1398"/>
          </w:tcPr>
          <w:p>
            <w:pPr>
              <w:spacing w:lineRule="auto" w:line="276" w:after="0"/>
            </w:pPr>
            <w:r/>
            <w:r>
              <w:rPr>
                <w:rFonts w:ascii="바탕" w:hAnsi="바탕" w:eastAsia="바탕"/>
                <w:b w:val="0"/>
                <w:sz w:val="19"/>
              </w:rPr>
              <w:t>0.61</w:t>
            </w:r>
          </w:p>
        </w:tc>
        <w:tc>
          <w:tcPr>
            <w:tcW w:type="dxa" w:w="1398"/>
          </w:tcPr>
          <w:p>
            <w:pPr>
              <w:spacing w:lineRule="auto" w:line="276" w:after="0"/>
            </w:pPr>
            <w:r/>
            <w:r>
              <w:rPr>
                <w:rFonts w:ascii="바탕" w:hAnsi="바탕" w:eastAsia="바탕"/>
                <w:b w:val="0"/>
                <w:sz w:val="19"/>
              </w:rPr>
              <w:t>-0.008</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L-DWA seed 42</w:t>
            </w:r>
          </w:p>
        </w:tc>
        <w:tc>
          <w:tcPr>
            <w:tcW w:type="dxa" w:w="1398"/>
          </w:tcPr>
          <w:p>
            <w:pPr>
              <w:spacing w:lineRule="auto" w:line="276" w:after="0"/>
            </w:pPr>
            <w:r/>
            <w:r>
              <w:rPr>
                <w:rFonts w:ascii="바탕" w:hAnsi="바탕" w:eastAsia="바탕"/>
                <w:b w:val="0"/>
                <w:sz w:val="19"/>
              </w:rPr>
              <w:t>+0.0033</w:t>
            </w:r>
          </w:p>
        </w:tc>
        <w:tc>
          <w:tcPr>
            <w:tcW w:type="dxa" w:w="1398"/>
          </w:tcPr>
          <w:p>
            <w:pPr>
              <w:spacing w:lineRule="auto" w:line="276" w:after="0"/>
            </w:pPr>
            <w:r/>
            <w:r>
              <w:rPr>
                <w:rFonts w:ascii="바탕" w:hAnsi="바탕" w:eastAsia="바탕"/>
                <w:b w:val="0"/>
                <w:sz w:val="19"/>
              </w:rPr>
              <w:t>[+0.0018, +0.0047]</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+0.063</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123</w:t>
            </w:r>
          </w:p>
        </w:tc>
        <w:tc>
          <w:tcPr>
            <w:tcW w:type="dxa" w:w="1398"/>
          </w:tcPr>
          <w:p>
            <w:pPr>
              <w:spacing w:lineRule="auto" w:line="276" w:after="0"/>
            </w:pPr>
            <w:r/>
            <w:r>
              <w:rPr>
                <w:rFonts w:ascii="바탕" w:hAnsi="바탕" w:eastAsia="바탕"/>
                <w:b w:val="0"/>
                <w:sz w:val="19"/>
              </w:rPr>
              <w:t>+0.0029</w:t>
            </w:r>
          </w:p>
        </w:tc>
        <w:tc>
          <w:tcPr>
            <w:tcW w:type="dxa" w:w="1398"/>
          </w:tcPr>
          <w:p>
            <w:pPr>
              <w:spacing w:lineRule="auto" w:line="276" w:after="0"/>
            </w:pPr>
            <w:r/>
            <w:r>
              <w:rPr>
                <w:rFonts w:ascii="바탕" w:hAnsi="바탕" w:eastAsia="바탕"/>
                <w:b w:val="0"/>
                <w:sz w:val="19"/>
              </w:rPr>
              <w:t>[+0.0012, +0.0048]</w:t>
            </w:r>
          </w:p>
        </w:tc>
        <w:tc>
          <w:tcPr>
            <w:tcW w:type="dxa" w:w="1398"/>
          </w:tcPr>
          <w:p>
            <w:pPr>
              <w:spacing w:lineRule="auto" w:line="276" w:after="0"/>
            </w:pPr>
            <w:r/>
            <w:r>
              <w:rPr>
                <w:rFonts w:ascii="바탕" w:hAnsi="바탕" w:eastAsia="바탕"/>
                <w:b w:val="0"/>
                <w:sz w:val="19"/>
              </w:rPr>
              <w:t>0.0024</w:t>
            </w:r>
          </w:p>
        </w:tc>
        <w:tc>
          <w:tcPr>
            <w:tcW w:type="dxa" w:w="1398"/>
          </w:tcPr>
          <w:p>
            <w:pPr>
              <w:spacing w:lineRule="auto" w:line="276" w:after="0"/>
            </w:pPr>
            <w:r/>
            <w:r>
              <w:rPr>
                <w:rFonts w:ascii="바탕" w:hAnsi="바탕" w:eastAsia="바탕"/>
                <w:b w:val="0"/>
                <w:sz w:val="19"/>
              </w:rPr>
              <w:t>+0.044</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999</w:t>
            </w:r>
          </w:p>
        </w:tc>
        <w:tc>
          <w:tcPr>
            <w:tcW w:type="dxa" w:w="1398"/>
          </w:tcPr>
          <w:p>
            <w:pPr>
              <w:spacing w:lineRule="auto" w:line="276" w:after="0"/>
            </w:pPr>
            <w:r/>
            <w:r>
              <w:rPr>
                <w:rFonts w:ascii="바탕" w:hAnsi="바탕" w:eastAsia="바탕"/>
                <w:b w:val="0"/>
                <w:sz w:val="19"/>
              </w:rPr>
              <w:t>+0.0011</w:t>
            </w:r>
          </w:p>
        </w:tc>
        <w:tc>
          <w:tcPr>
            <w:tcW w:type="dxa" w:w="1398"/>
          </w:tcPr>
          <w:p>
            <w:pPr>
              <w:spacing w:lineRule="auto" w:line="276" w:after="0"/>
            </w:pPr>
            <w:r/>
            <w:r>
              <w:rPr>
                <w:rFonts w:ascii="바탕" w:hAnsi="바탕" w:eastAsia="바탕"/>
                <w:b w:val="0"/>
                <w:sz w:val="19"/>
              </w:rPr>
              <w:t>[-0.0007, +0.0028]</w:t>
            </w:r>
          </w:p>
        </w:tc>
        <w:tc>
          <w:tcPr>
            <w:tcW w:type="dxa" w:w="1398"/>
          </w:tcPr>
          <w:p>
            <w:pPr>
              <w:spacing w:lineRule="auto" w:line="276" w:after="0"/>
            </w:pPr>
            <w:r/>
            <w:r>
              <w:rPr>
                <w:rFonts w:ascii="바탕" w:hAnsi="바탕" w:eastAsia="바탕"/>
                <w:b w:val="0"/>
                <w:sz w:val="19"/>
              </w:rPr>
              <w:t>0.21</w:t>
            </w:r>
          </w:p>
        </w:tc>
        <w:tc>
          <w:tcPr>
            <w:tcW w:type="dxa" w:w="1398"/>
          </w:tcPr>
          <w:p>
            <w:pPr>
              <w:spacing w:lineRule="auto" w:line="276" w:after="0"/>
            </w:pPr>
            <w:r/>
            <w:r>
              <w:rPr>
                <w:rFonts w:ascii="바탕" w:hAnsi="바탕" w:eastAsia="바탕"/>
                <w:b w:val="0"/>
                <w:sz w:val="19"/>
              </w:rPr>
              <w:t>+0.017</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+0.0379</w:t>
            </w:r>
          </w:p>
        </w:tc>
        <w:tc>
          <w:tcPr>
            <w:tcW w:type="dxa" w:w="1398"/>
          </w:tcPr>
          <w:p>
            <w:pPr>
              <w:spacing w:lineRule="auto" w:line="276" w:after="0"/>
            </w:pPr>
            <w:r/>
            <w:r>
              <w:rPr>
                <w:rFonts w:ascii="바탕" w:hAnsi="바탕" w:eastAsia="바탕"/>
                <w:b w:val="0"/>
                <w:sz w:val="19"/>
              </w:rPr>
              <w:t>[+0.0352, +0.0408]</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+0.379</w:t>
            </w:r>
          </w:p>
        </w:tc>
        <w:tc>
          <w:tcPr>
            <w:tcW w:type="dxa" w:w="1398"/>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주요 관찰</w:t>
      </w:r>
    </w:p>
    <w:p>
      <w:pPr>
        <w:spacing w:lineRule="auto" w:line="480" w:after="0"/>
      </w:pPr>
      <w:r>
        <w:rPr>
          <w:rFonts w:ascii="바탕" w:hAnsi="바탕" w:eastAsia="바탕"/>
          <w:b w:val="0"/>
          <w:sz w:val="21"/>
        </w:rPr>
        <w:t>첫째, L-DWA 3 seeds 모두 cache regime 에서 R-DWA 를 통계적으로 유의하게 능가한다 (Δ ≈ +0.014, p &lt; 1e-4 across all seeds). 이는 본 논문의 핵심 주장 — PPO 학습된 가중치 정책이 규칙 기반 baseline 을 통계적으로 압도한다 — 의 정량 근거이다. 효과 크기 d&lt;sub&gt;z&lt;/sub&gt; ≈ 0.15-0.17 은 small-medium 범위로, 5,000 표본의 좁은 신뢰구간이 0 을 포함하지 않는다.</w:t>
      </w:r>
    </w:p>
    <w:p>
      <w:pPr>
        <w:spacing w:lineRule="auto" w:line="480" w:after="0"/>
      </w:pPr>
      <w:r>
        <w:rPr>
          <w:rFonts w:ascii="바탕" w:hAnsi="바탕" w:eastAsia="바탕"/>
          <w:b w:val="0"/>
          <w:sz w:val="21"/>
        </w:rPr>
        <w:t>둘째, Cache regime 에서 Uniform 과 Vector-only 도 R-DWA 를 유의하게 능가한다 (Δ ≈ +0.011, p &lt; 1e-4). 이는 R-DWA 의 도메인-편향 기본 가중치 테이블 (α&lt;sub&gt;simple&lt;/sub&gt;=0.6, β&lt;sub&gt;multi_hop&lt;/sub&gt;=0.6, γ&lt;sub&gt;conditional&lt;/sub&gt;=0.6) 이 cache 평가 환경의 실제 보상 지형과 정렬되지 않음을 의미한다. 본 논문 RQ1 ("R-DWA 의 기본 가중치 테이블이 보상 지형과 정렬되어 있는가?") 에 대한 정량적 부정 답변에 해당한다.</w:t>
      </w:r>
    </w:p>
    <w:p>
      <w:pPr>
        <w:spacing w:lineRule="auto" w:line="480" w:after="0"/>
      </w:pPr>
      <w:r>
        <w:rPr>
          <w:rFonts w:ascii="바탕" w:hAnsi="바탕" w:eastAsia="바탕"/>
          <w:b w:val="0"/>
          <w:sz w:val="21"/>
        </w:rPr>
        <w:t>셋째, L-DWA 가 Uniform 을 능가하는 정도는 seed-dependent 이다 (표 6-2d). seed 42 (Δ=+0.0033, p&lt;1e-4) 와 seed 123 (Δ=+0.0029, p=0.0024) 에서는 통계적으로 유의하지만, seed 999 (Δ=+0.0011, CI [-0.0007, +0.0028]) 에서는 유의하지 않다. 효과 크기는 0.02–0.06 으로 작은 편이다. Cache regime 에서 L-DWA 의 Uniform 대비 우위는 작지만 평균적으로 양의 방향 이다 (3-seed 평균 Δ ≈ +0.0024). 이는 cache regime 의 절대 F1 값 (≈ 0.07-0.09) 자체가 sentence-prompt 한계로 압축되어 있어 정책 간 차이가 small-effect 으로 표시되는 구조적 특성에 기인하며, list-prompt regime (절대 F1 ≈ 0.53-0.56, §3 나) 에서의 Δ ≈ +0.033 (R-DWA → L-DWA) 와 정량적 일관성을 보인다.</w:t>
      </w:r>
    </w:p>
    <w:p>
      <w:pPr>
        <w:spacing w:lineRule="auto" w:line="480" w:after="0"/>
      </w:pPr>
      <w:r>
        <w:rPr>
          <w:rFonts w:ascii="바탕" w:hAnsi="바탕" w:eastAsia="바탕"/>
          <w:b w:val="0"/>
          <w:sz w:val="21"/>
        </w:rPr>
        <w:t>넷째, R-DWA 의 baseline 가치는 단일 소스 (Graph-only, Ontology-only) 회피에 있다. R-DWA vs Graph-only Δ = +0.028, vs Ontology-only Δ = +0.027 (p &lt; 1e-4). 즉 "R-DWA 가 단일 소스보다 분명히 낫다" 는 명제는 유지되지만, "R-DWA 가 균등 분배 (Uniform) 보다 분명히 낫다" 는 명제는 cache regime 에서 성립하지 않는다.</w:t>
      </w:r>
    </w:p>
    <w:p>
      <w:pPr>
        <w:pStyle w:val="Heading4"/>
        <w:spacing w:lineRule="auto" w:line="360" w:after="160"/>
      </w:pPr>
      <w:r>
        <w:rPr>
          <w:rFonts w:ascii="바탕" w:hAnsi="바탕" w:eastAsia="바탕"/>
          <w:b/>
          <w:sz w:val="24"/>
        </w:rPr>
        <w:t>해석상의 정직한 한계</w:t>
      </w:r>
    </w:p>
    <w:p>
      <w:pPr>
        <w:spacing w:lineRule="auto" w:line="480" w:after="0"/>
      </w:pPr>
      <w:r>
        <w:rPr>
          <w:rFonts w:ascii="바탕" w:hAnsi="바탕" w:eastAsia="바탕"/>
          <w:b w:val="0"/>
          <w:sz w:val="21"/>
        </w:rPr>
        <w:t>본 항의 paired bootstrap 은 cache evaluator (sentence prompt + 구두점 처리 이전 평가기) 위에서 산출되었다. 헤드라인 표 6-2 의 corrected baseline (list prompt + _PUNCT_RE 패치) 와는 평가 regime 이 다르다. 양 regime 에서 정책 간 순위가 동일하다는 것을 보장하기 위해서는 list-prompt regime 에서 동일한 paired bootstrap 을 추가로 실행할 필요가 있으며, 이는 §8 나에서 1순위 향후 연구로 명시한다. paired_bootstrap.py 스크립트와 cache regime 결과는 저장소에 함께 공개한다.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List-prompt regime 에서 Uniform paired bootstrap: 본 논문의 헤드라인 표 6-2 (§3 나) 는 list-prompt regime 에서 R-DWA / L-DWA / Oracle 를 비교하지만, Uniform (1/3, 1/3, 1/3) 의 list-prompt 측정은 포함되지 않았다. Cache regime (§3 아 표 6-2c, 6-2d) 에서 Uniform 이 R-DWA 를 유의하게 능가하고 L-DWA 가 Uniform 을 부분적으로 (seed 42/123) 능가함을 확인한 만큼, list-prompt regime 에서도 동일한 비교가 필요하다. 5,000 QA × 약 $1 규모의 추가 LLM 호출로 즉시 수행 가능. 본 비교는 evaluate_rerun.py 의 per-query 결과 저장 옵션을 5,000 전수로 확장하여 paired bootstrap 까지 일관되게 수행한다.</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Corrected baseline (list prompt) 위에서 L-DWA 가 R-DWA 대비 F1&lt;sub&gt;strict&lt;/sub&gt; +6.2%, F1&lt;sub&gt;substring&lt;/sub&gt; +5.2%, F1&lt;sub&gt;char&lt;/sub&gt; +5.3%, Faithfulness +6.6% 의 정량 개선을 달성 (모두 3-seed 평균 기준).</w:t>
      </w:r>
    </w:p>
    <w:p>
      <w:pPr>
        <w:pStyle w:val="ListBullet"/>
        <w:spacing w:lineRule="auto" w:line="360" w:after="0"/>
      </w:pPr>
      <w:r>
        <w:rPr>
          <w:rFonts w:ascii="바탕" w:hAnsi="바탕" w:eastAsia="바탕"/>
          <w:b w:val="0"/>
          <w:sz w:val="21"/>
        </w:rPr>
        <w:t>L-DWA 가 5개 지표 중 4개 (F1&lt;sub&gt;strict&lt;/sub&gt;, F1&lt;sub&gt;substring&lt;/sub&gt;, F1&lt;sub&gt;char&lt;/sub&gt;, Faithfulness) 에서 per-query argmax Oracle 을 초과. 연속 Dirichlet 평균이 66-점 이산 격자 외부의 공간을 활용하는 것으로 해석.</w:t>
      </w:r>
    </w:p>
    <w:p>
      <w:pPr>
        <w:pStyle w:val="ListBullet"/>
        <w:spacing w:lineRule="auto" w:line="360" w:after="0"/>
      </w:pPr>
      <w:r>
        <w:rPr>
          <w:rFonts w:ascii="바탕" w:hAnsi="바탕" w:eastAsia="바탕"/>
          <w:b w:val="0"/>
          <w:sz w:val="21"/>
        </w:rPr>
        <w:t>Conditional 질의에서 F1&lt;sub&gt;strict&lt;/sub&gt; +27.8% (R-DWA 0.223 → L-DWA 0.285) 로 본 논문의 가장 강력한 per-type 증거. Oracle 0.290 과 동등 수준.</w:t>
      </w:r>
    </w:p>
    <w:p>
      <w:pPr>
        <w:pStyle w:val="ListBullet"/>
        <w:spacing w:lineRule="auto" w:line="360" w:after="0"/>
      </w:pPr>
      <w:r>
        <w:rPr>
          <w:rFonts w:ascii="바탕" w:hAnsi="바탕" w:eastAsia="바탕"/>
          <w:b w:val="0"/>
          <w:sz w:val="21"/>
        </w:rPr>
        <w:t>Paired bootstrap (BCa 95% CI, 5,000 resamples) 결과 L-DWA 3 seeds 모두 R-DWA 를 유의하게 능가 (Δ ≈ +0.014, p &lt; 1e-4 across all seeds; §3 아 표 6-2c).</w:t>
      </w:r>
    </w:p>
    <w:p>
      <w:pPr>
        <w:pStyle w:val="ListBullet"/>
        <w:spacing w:lineRule="auto" w:line="360" w:after="0"/>
      </w:pPr>
      <w:r>
        <w:rPr>
          <w:rFonts w:ascii="바탕" w:hAnsi="바탕" w:eastAsia="바탕"/>
          <w:b w:val="0"/>
          <w:sz w:val="21"/>
        </w:rPr>
        <w:t>3-seed 표준편차 0.007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그리고 한국어 합성 대학 도메인 5,000 QA + 한국어 intent 정규식 + 그래프·온톨로지 존재라는 적용 범위 안에서, L-DWA 는 R-DWA 대비 F1&lt;sub&gt;strict&lt;/sub&gt; +6.2%, F1&lt;sub&gt;substring&lt;/sub&gt; +5.2%, Faithfulness +6.6% 의 일관된 개선을 기록하며, Oracle (per-query argmax, 66-점 이산 격자 상한) 을 모든 F1 지표에서 초과 하였다 (0.562 &gt; 0.554). 이는 학습된 Dirichlet 평균이 이산 argmax 상한을 넘어서는 연속 공간 탐색력 을 실증한다. 5,000 query-level paired bootstrap (BCa 95% CI, Ch.6 §3 아) 으로 R-DWA 대비 정책별 차이의 통계적 유의성 (L-DWA 3 seeds 모두 Δ ≈ +0.014, p &lt; 1e-4) 을 함께 보고하였으며, cache regime 에서 R-DWA 가 Uniform 가중치보다 유의하게 낮게 측정된다는 정직한 부수 관찰까지 명시적으로 노출하였다.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 본 결론의 모든 정량 주장은 위에 적시된 한국어 합성 대학 도메인이라는 적용 범위 안에서 성립한다는 점을 명시한다.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pStyle w:val="Heading3"/>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pStyle w:val="Heading3"/>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한국어 합성 대학 도메인 + 한국어 intent 정규식 + 구축된 그래프·온톨로지 라는 조건 하에서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 통계적 유의성 검증으로는 5,000 query-level paired bootstrap (BCa 95% CI) 을 §6.3.6 에 함께 보고하며, cache regime 에서 R-DWA 가 Uniform 가중치보다도 통계적으로 유의하게 낮다는 정직한 부수 관찰까지 함께 노출한다.</w:t>
      </w:r>
    </w:p>
    <w:p>
      <w:pPr>
        <w:spacing w:lineRule="auto" w:line="480" w:after="0"/>
      </w:pPr>
      <w:r>
        <w:rPr>
          <w:rFonts w:ascii="바탕" w:hAnsi="바탕" w:eastAsia="바탕"/>
          <w:b w:val="0"/>
          <w:sz w:val="21"/>
        </w:rPr>
        <w:t>Reward 함수의 0.3·EM 항은 sentence 프롬프트 하 EM 이 구조적으로 0 이라는 점 때문에 학습에 기여하지 못하므로, 본 논문의 PPO 가 실제로 최적화한 목적은 0.5·F1 + 0.2·Faithfulness 의 비율로 해석된다. 이 사실은 6장 §1.4·§2.3 및 결론 §4.1 의 한계 진술에서 함께 다룬다.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참고문헌</w:t>
      </w:r>
    </w:p>
    <w:p>
      <w:pPr>
        <w:spacing w:lineRule="auto" w:line="360" w:after="0"/>
        <w:ind w:left="567"/>
      </w:pPr>
      <w:r>
        <w:rPr>
          <w:rFonts w:ascii="바탕" w:hAnsi="바탕" w:eastAsia="바탕"/>
          <w:b w:val="0"/>
          <w:sz w:val="20"/>
        </w:rPr>
        <w:t>▸ IEEE style. The list contains all works cited in the body and selected sources required for reproducing or contextualizing this dissertation. Within a single category, multi-author publications by the same lead author are ordered by year (descending).</w:t>
      </w:r>
    </w:p>
    <w:p>
      <w:pPr>
        <w:pStyle w:val="Heading2"/>
        <w:spacing w:lineRule="auto" w:line="360" w:after="160"/>
      </w:pPr>
      <w:r>
        <w:rPr>
          <w:rFonts w:ascii="바탕" w:hAnsi="바탕" w:eastAsia="바탕"/>
          <w:b/>
          <w:sz w:val="24"/>
        </w:rPr>
        <w:t>[1] Prior and Directly Related Work</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vol. 30, 2025. [Code and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(this dissertation)</w:t>
      </w:r>
    </w:p>
    <w:p>
      <w:pPr>
        <w:pStyle w:val="Heading2"/>
        <w:spacing w:lineRule="auto" w:line="360" w:after="160"/>
      </w:pPr>
      <w:r>
        <w:rPr>
          <w:rFonts w:ascii="바탕" w:hAnsi="바탕" w:eastAsia="바탕"/>
          <w:b/>
          <w:sz w:val="24"/>
        </w:rPr>
        <w:t>[2] RAG Foundations and Evolution</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spacing w:lineRule="auto" w:line="480" w:after="0"/>
      </w:pPr>
      <w:r>
        <w:rPr>
          <w:rFonts w:ascii="바탕" w:hAnsi="바탕" w:eastAsia="바탕"/>
          <w:b w:val="0"/>
          <w:sz w:val="21"/>
        </w:rPr>
        <w:t>[5] K. Guu, K. Lee, Z. Tung, P. Pasupat, and M.-W. Chang, "REALM: Retrieval-Augmented Language Model Pre-Training," in Proc. ICML, 2020.</w:t>
      </w:r>
    </w:p>
    <w:p>
      <w:pPr>
        <w:spacing w:lineRule="auto" w:line="480" w:after="0"/>
      </w:pPr>
      <w:r>
        <w:rPr>
          <w:rFonts w:ascii="바탕" w:hAnsi="바탕" w:eastAsia="바탕"/>
          <w:b w:val="0"/>
          <w:sz w:val="21"/>
        </w:rPr>
        <w:t>[6] V. Karpukhin, B. Oguz, S. Min, P. Lewis, L. Wu, S. Edunov, D. Chen, and W.-T. Yih, "Dense Passage Retrieval for Open-Domain Question Answering," in Proc. EMNLP, pp. 6769–6781, 2020.</w:t>
      </w:r>
    </w:p>
    <w:p>
      <w:pPr>
        <w:spacing w:lineRule="auto" w:line="480" w:after="0"/>
      </w:pPr>
      <w:r>
        <w:rPr>
          <w:rFonts w:ascii="바탕" w:hAnsi="바탕" w:eastAsia="바탕"/>
          <w:b w:val="0"/>
          <w:sz w:val="21"/>
        </w:rPr>
        <w:t>[7] G. Izacard and E. Grave, "Leveraging Passage Retrieval with Generative Models for Open Domain Question Answering (FiD)," in Proc. EACL, pp. 874–880, 2021.</w:t>
      </w:r>
    </w:p>
    <w:p>
      <w:pPr>
        <w:spacing w:lineRule="auto" w:line="480" w:after="0"/>
      </w:pPr>
      <w:r>
        <w:rPr>
          <w:rFonts w:ascii="바탕" w:hAnsi="바탕" w:eastAsia="바탕"/>
          <w:b w:val="0"/>
          <w:sz w:val="21"/>
        </w:rPr>
        <w:t>[8] S. Borgeaud, A. Mensch, J. Hoffmann, T. Cai, E. Rutherford, K. Millican, et al., "Improving Language Models by Retrieving from Trillions of Tokens (RETRO)," in Proc. ICML, 2022.</w:t>
      </w:r>
    </w:p>
    <w:p>
      <w:pPr>
        <w:spacing w:lineRule="auto" w:line="480" w:after="0"/>
      </w:pPr>
      <w:r>
        <w:rPr>
          <w:rFonts w:ascii="바탕" w:hAnsi="바탕" w:eastAsia="바탕"/>
          <w:b w:val="0"/>
          <w:sz w:val="21"/>
        </w:rPr>
        <w:t>[9] U. Khandelwal, O. Levy, D. Jurafsky, L. Zettlemoyer, and M. Lewis, "Generalization through Memorization: Nearest Neighbor Language Models (kNN-LM)," in Int. Conf. on Learning Representations (ICLR), 2020.</w:t>
      </w:r>
    </w:p>
    <w:p>
      <w:pPr>
        <w:spacing w:lineRule="auto" w:line="480" w:after="0"/>
      </w:pPr>
      <w:r>
        <w:rPr>
          <w:rFonts w:ascii="바탕" w:hAnsi="바탕" w:eastAsia="바탕"/>
          <w:b w:val="0"/>
          <w:sz w:val="21"/>
        </w:rPr>
        <w:t>[10] G. Izacard, P. Lewis, M. Lomeli, L. Hosseini, F. Petroni, T. Schick, J. Dwivedi-Yu, A. Joulin, S. Riedel, and E. Grave, "Atlas: Few-shot Learning with Retrieval Augmented Language Models," Journal of Machine Learning Research (JMLR), 2023.</w:t>
      </w:r>
    </w:p>
    <w:p>
      <w:pPr>
        <w:spacing w:lineRule="auto" w:line="480" w:after="0"/>
      </w:pPr>
      <w:r>
        <w:rPr>
          <w:rFonts w:ascii="바탕" w:hAnsi="바탕" w:eastAsia="바탕"/>
          <w:b w:val="0"/>
          <w:sz w:val="21"/>
        </w:rPr>
        <w:t>[11] T. Zhang, Y. Wang, X. Liu, and A. Cohan, "RAFT: Adapting Language Model to Domain Specific RAG," arXiv preprint arXiv:2403.10131, 2024.</w:t>
      </w:r>
    </w:p>
    <w:p>
      <w:pPr>
        <w:spacing w:lineRule="auto" w:line="480" w:after="0"/>
      </w:pPr>
      <w:r>
        <w:rPr>
          <w:rFonts w:ascii="바탕" w:hAnsi="바탕" w:eastAsia="바탕"/>
          <w:b w:val="0"/>
          <w:sz w:val="21"/>
        </w:rPr>
        <w:t>[12] B. Ma, C. Wu, and S. Ji, "HybridRAG: Integrating Knowledge Graphs and Vector Retrieval Augmented Generation for Efficient Information Extraction," arXiv preprint arXiv:2408.04948, 2024.</w:t>
      </w:r>
    </w:p>
    <w:p>
      <w:pPr>
        <w:pStyle w:val="Heading2"/>
        <w:spacing w:lineRule="auto" w:line="360" w:after="160"/>
      </w:pPr>
      <w:r>
        <w:rPr>
          <w:rFonts w:ascii="바탕" w:hAnsi="바탕" w:eastAsia="바탕"/>
          <w:b/>
          <w:sz w:val="24"/>
        </w:rPr>
        <w:t>[3] GraphRAG and Structured Knowledge Integration</w:t>
      </w:r>
    </w:p>
    <w:p>
      <w:pPr>
        <w:spacing w:lineRule="auto" w:line="480" w:after="0"/>
      </w:pPr>
      <w:r>
        <w:rPr>
          <w:rFonts w:ascii="바탕" w:hAnsi="바탕" w:eastAsia="바탕"/>
          <w:b w:val="0"/>
          <w:sz w:val="21"/>
        </w:rPr>
        <w:t>[13]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[14] Z. Guo, L. Xia, Y. Yu, T. Ao, and C. Huang, "LightRAG: Simple and Fast Retrieval-Augmented Generation," arXiv preprint arXiv:2410.05779, 2024.</w:t>
      </w:r>
    </w:p>
    <w:p>
      <w:pPr>
        <w:spacing w:lineRule="auto" w:line="480" w:after="0"/>
      </w:pPr>
      <w:r>
        <w:rPr>
          <w:rFonts w:ascii="바탕" w:hAnsi="바탕" w:eastAsia="바탕"/>
          <w:b w:val="0"/>
          <w:sz w:val="21"/>
        </w:rPr>
        <w:t>[15] J. Sun, C. Xu, L. Tang, S. Wang, C. Lin, Y. Gong, L. M. Ni, H.-Y. Shum, and J. Guo, "Think-on-Graph: Deep and Responsible Reasoning of Large Language Models on Knowledge Graph," in Int. Conf. on Learning Representations (ICLR), 2024.</w:t>
      </w:r>
    </w:p>
    <w:p>
      <w:pPr>
        <w:spacing w:lineRule="auto" w:line="480" w:after="0"/>
      </w:pPr>
      <w:r>
        <w:rPr>
          <w:rFonts w:ascii="바탕" w:hAnsi="바탕" w:eastAsia="바탕"/>
          <w:b w:val="0"/>
          <w:sz w:val="21"/>
        </w:rPr>
        <w:t>[16] X. He, Y. Tian, Y. Sun, N. V. Chawla, T. Laurent, Y. LeCun, X. Bresson, and B. Hooi, "G-Retriever: Retrieval-Augmented Generation for Textual Graph Understanding and Question Answering," in NeurIPS, 2024.</w:t>
      </w:r>
    </w:p>
    <w:p>
      <w:pPr>
        <w:spacing w:lineRule="auto" w:line="480" w:after="0"/>
      </w:pPr>
      <w:r>
        <w:rPr>
          <w:rFonts w:ascii="바탕" w:hAnsi="바탕" w:eastAsia="바탕"/>
          <w:b w:val="0"/>
          <w:sz w:val="21"/>
        </w:rPr>
        <w:t>[17] M. Yasunaga, H. Ren, A. Bosselut, P. Liang, and J. Leskovec, "QA-GNN: Reasoning with Language Models and Knowledge Graphs for Question Answering," in Proc. NAACL-HLT, pp. 535–546, 2021.</w:t>
      </w:r>
    </w:p>
    <w:p>
      <w:pPr>
        <w:spacing w:lineRule="auto" w:line="480" w:after="0"/>
      </w:pPr>
      <w:r>
        <w:rPr>
          <w:rFonts w:ascii="바탕" w:hAnsi="바탕" w:eastAsia="바탕"/>
          <w:b w:val="0"/>
          <w:sz w:val="21"/>
        </w:rPr>
        <w:t>[18] A. Bordes, N. Usunier, A. Garcia-Durán, J. Weston, and O. Yakhnenko, "Translating Embeddings for Modeling Multi-relational Data (TransE)," in NeurIPS, vol. 26, pp. 2787–2795, 2013.</w:t>
      </w:r>
    </w:p>
    <w:p>
      <w:pPr>
        <w:spacing w:lineRule="auto" w:line="480" w:after="0"/>
      </w:pPr>
      <w:r>
        <w:rPr>
          <w:rFonts w:ascii="바탕" w:hAnsi="바탕" w:eastAsia="바탕"/>
          <w:b w:val="0"/>
          <w:sz w:val="21"/>
        </w:rPr>
        <w:t>[19] B. Peng, Y. Zhu, Y. Liu, X. Bo, H. Shi, C. Hong, Y. Zhang, and S. Tang, "Graph Retrieval-Augmented Generation: A Survey," arXiv preprint arXiv:2408.08921, 2024.</w:t>
      </w:r>
    </w:p>
    <w:p>
      <w:pPr>
        <w:pStyle w:val="Heading2"/>
        <w:spacing w:lineRule="auto" w:line="360" w:after="160"/>
      </w:pPr>
      <w:r>
        <w:rPr>
          <w:rFonts w:ascii="바탕" w:hAnsi="바탕" w:eastAsia="바탕"/>
          <w:b/>
          <w:sz w:val="24"/>
        </w:rPr>
        <w:t>[4] Self-Reflective and Corrective RAG</w:t>
      </w:r>
    </w:p>
    <w:p>
      <w:pPr>
        <w:spacing w:lineRule="auto" w:line="480" w:after="0"/>
      </w:pPr>
      <w:r>
        <w:rPr>
          <w:rFonts w:ascii="바탕" w:hAnsi="바탕" w:eastAsia="바탕"/>
          <w:b w:val="0"/>
          <w:sz w:val="21"/>
        </w:rPr>
        <w:t>[20]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[21] S. Yan, J. Gu, Y. Zhu, and Z. Ling, "Corrective Retrieval Augmented Generation (CRAG)," arXiv preprint arXiv:2401.15884, 2024.</w:t>
      </w:r>
    </w:p>
    <w:p>
      <w:pPr>
        <w:spacing w:lineRule="auto" w:line="480" w:after="0"/>
      </w:pPr>
      <w:r>
        <w:rPr>
          <w:rFonts w:ascii="바탕" w:hAnsi="바탕" w:eastAsia="바탕"/>
          <w:b w:val="0"/>
          <w:sz w:val="21"/>
        </w:rPr>
        <w:t>[22] A. Madaan, N. Tandon, P. Gupta, S. Hallinan, L. Gao, S. Wiegreffe, U. Alon, et al., "Self-Refine: Iterative Refinement with Self-Feedback," in NeurIPS, 2023.</w:t>
      </w:r>
    </w:p>
    <w:p>
      <w:pPr>
        <w:spacing w:lineRule="auto" w:line="480" w:after="0"/>
      </w:pPr>
      <w:r>
        <w:rPr>
          <w:rFonts w:ascii="바탕" w:hAnsi="바탕" w:eastAsia="바탕"/>
          <w:b w:val="0"/>
          <w:sz w:val="21"/>
        </w:rPr>
        <w:t>[23] N. Shinn, F. Cassano, B. Labash, A. Gopinath, K. Narasimhan, and S. Yao, "Reflexion: Language Agents with Verbal Reinforcement Learning," in NeurIPS, 2023.</w:t>
      </w:r>
    </w:p>
    <w:p>
      <w:pPr>
        <w:spacing w:lineRule="auto" w:line="480" w:after="0"/>
      </w:pPr>
      <w:r>
        <w:rPr>
          <w:rFonts w:ascii="바탕" w:hAnsi="바탕" w:eastAsia="바탕"/>
          <w:b w:val="0"/>
          <w:sz w:val="21"/>
        </w:rPr>
        <w:t>[24] X. Wang, J. Wei, D. Schuurmans, Q. V. Le, E. H. Chi, S. Narang, A. Chowdhery, and D. Zhou, "Self-Consistency Improves Chain of Thought Reasoning in Language Models," in Int. Conf. on Learning Representations (ICLR), 2023.</w:t>
      </w:r>
    </w:p>
    <w:p>
      <w:pPr>
        <w:spacing w:lineRule="auto" w:line="480" w:after="0"/>
      </w:pPr>
      <w:r>
        <w:rPr>
          <w:rFonts w:ascii="바탕" w:hAnsi="바탕" w:eastAsia="바탕"/>
          <w:b w:val="0"/>
          <w:sz w:val="21"/>
        </w:rPr>
        <w:t>[25] S. Yao, J. Zhao, D. Yu, N. Du, I. Shafran, K. Narasimhan, and Y. Cao, "ReAct: Synergizing Reasoning and Acting in Language Models," in Int. Conf. on Learning Representations (ICLR), 2023.</w:t>
      </w:r>
    </w:p>
    <w:p>
      <w:pPr>
        <w:pStyle w:val="Heading2"/>
        <w:spacing w:lineRule="auto" w:line="360" w:after="160"/>
      </w:pPr>
      <w:r>
        <w:rPr>
          <w:rFonts w:ascii="바탕" w:hAnsi="바탕" w:eastAsia="바탕"/>
          <w:b/>
          <w:sz w:val="24"/>
        </w:rPr>
        <w:t>[5] Adaptive Retrieval and Routing</w:t>
      </w:r>
    </w:p>
    <w:p>
      <w:pPr>
        <w:spacing w:lineRule="auto" w:line="480" w:after="0"/>
      </w:pPr>
      <w:r>
        <w:rPr>
          <w:rFonts w:ascii="바탕" w:hAnsi="바탕" w:eastAsia="바탕"/>
          <w:b w:val="0"/>
          <w:sz w:val="21"/>
        </w:rPr>
        <w:t>[26]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[27] O. Press, M. Zhang, S. Min, L. Schmidt, N. A. Smith, and M. Lewis, "Measuring and Narrowing the Compositionality Gap in Language Models (Self-Ask)," in Findings of EMNLP, 2023.</w:t>
      </w:r>
    </w:p>
    <w:p>
      <w:pPr>
        <w:spacing w:lineRule="auto" w:line="480" w:after="0"/>
      </w:pPr>
      <w:r>
        <w:rPr>
          <w:rFonts w:ascii="바탕" w:hAnsi="바탕" w:eastAsia="바탕"/>
          <w:b w:val="0"/>
          <w:sz w:val="21"/>
        </w:rPr>
        <w:t>[28] A. Mallen, A. Asai, V. Zhong, R. Das, D. Khashabi, and H. Hajishirzi, "When Not to Trust Language Models: Investigating Effectiveness of Parametric and Non-Parametric Memories," in Proc. ACL, 2023.</w:t>
      </w:r>
    </w:p>
    <w:p>
      <w:pPr>
        <w:spacing w:lineRule="auto" w:line="480" w:after="0"/>
      </w:pPr>
      <w:r>
        <w:rPr>
          <w:rFonts w:ascii="바탕" w:hAnsi="바탕" w:eastAsia="바탕"/>
          <w:b w:val="0"/>
          <w:sz w:val="21"/>
        </w:rPr>
        <w:t>[29] X. Ma, Y. Gong, P. He, H. Zhao, and N. Duan, "Query Rewriting for Retrieval-Augmented Large Language Models," in Proc. EMNLP, 2023.</w:t>
      </w:r>
    </w:p>
    <w:p>
      <w:pPr>
        <w:spacing w:lineRule="auto" w:line="480" w:after="0"/>
      </w:pPr>
      <w:r>
        <w:rPr>
          <w:rFonts w:ascii="바탕" w:hAnsi="바탕" w:eastAsia="바탕"/>
          <w:b w:val="0"/>
          <w:sz w:val="21"/>
        </w:rPr>
        <w:t>[30] H. Trivedi, N. Balasubramanian, T. Khot, and A. Sabharwal, "Interleaving Retrieval with Chain-of-Thought Reasoning for Knowledge-Intensive Multi-Step Questions (IRCoT)," in Proc. ACL, 2023.</w:t>
      </w:r>
    </w:p>
    <w:p>
      <w:pPr>
        <w:pStyle w:val="Heading2"/>
        <w:spacing w:lineRule="auto" w:line="360" w:after="160"/>
      </w:pPr>
      <w:r>
        <w:rPr>
          <w:rFonts w:ascii="바탕" w:hAnsi="바탕" w:eastAsia="바탕"/>
          <w:b/>
          <w:sz w:val="24"/>
        </w:rPr>
        <w:t>[6] Information Retrieval Foundations</w:t>
      </w:r>
    </w:p>
    <w:p>
      <w:pPr>
        <w:spacing w:lineRule="auto" w:line="480" w:after="0"/>
      </w:pPr>
      <w:r>
        <w:rPr>
          <w:rFonts w:ascii="바탕" w:hAnsi="바탕" w:eastAsia="바탕"/>
          <w:b w:val="0"/>
          <w:sz w:val="21"/>
        </w:rPr>
        <w:t>[31] S. Robertson and H. Zaragoza, "The Probabilistic Relevance Framework: BM25 and Beyond," Foundations and Trends in Information Retrieval, vol. 3, no. 4, pp. 333–389, 2009.</w:t>
      </w:r>
    </w:p>
    <w:p>
      <w:pPr>
        <w:spacing w:lineRule="auto" w:line="480" w:after="0"/>
      </w:pPr>
      <w:r>
        <w:rPr>
          <w:rFonts w:ascii="바탕" w:hAnsi="바탕" w:eastAsia="바탕"/>
          <w:b w:val="0"/>
          <w:sz w:val="21"/>
        </w:rPr>
        <w:t>[32] O. Khattab and M. Zaharia, "ColBERT: Efficient and Effective Passage Search via Contextualized Late Interaction over BERT," in Proc. SIGIR, pp. 39–48, 2020.</w:t>
      </w:r>
    </w:p>
    <w:p>
      <w:pPr>
        <w:spacing w:lineRule="auto" w:line="480" w:after="0"/>
      </w:pPr>
      <w:r>
        <w:rPr>
          <w:rFonts w:ascii="바탕" w:hAnsi="바탕" w:eastAsia="바탕"/>
          <w:b w:val="0"/>
          <w:sz w:val="21"/>
        </w:rPr>
        <w:t>[33] K. Santhanam, O. Khattab, J. Saad-Falcon, C. Potts, and M. Zaharia, "ColBERTv2: Effective and Efficient Retrieval via Lightweight Late Interaction," in Proc. NAACL-HLT, 2022.</w:t>
      </w:r>
    </w:p>
    <w:p>
      <w:pPr>
        <w:spacing w:lineRule="auto" w:line="480" w:after="0"/>
      </w:pPr>
      <w:r>
        <w:rPr>
          <w:rFonts w:ascii="바탕" w:hAnsi="바탕" w:eastAsia="바탕"/>
          <w:b w:val="0"/>
          <w:sz w:val="21"/>
        </w:rPr>
        <w:t>[34] G. Izacard, M. Caron, L. Hosseini, S. Riedel, P. Bojanowski, A. Joulin, and E. Grave, "Unsupervised Dense Information Retrieval with Contrastive Learning (Contriever)," Transactions on Machine Learning Research (TMLR), 2022.</w:t>
      </w:r>
    </w:p>
    <w:p>
      <w:pPr>
        <w:spacing w:lineRule="auto" w:line="480" w:after="0"/>
      </w:pPr>
      <w:r>
        <w:rPr>
          <w:rFonts w:ascii="바탕" w:hAnsi="바탕" w:eastAsia="바탕"/>
          <w:b w:val="0"/>
          <w:sz w:val="21"/>
        </w:rPr>
        <w:t>[35] L. Wang, N. Yang, X. Huang, B. Jiao, L. Yang, D. Jiang, R. Majumder, and F. Wei, "Text Embeddings by Weakly-Supervised Contrastive Pre-training (E5)," arXiv preprint arXiv:2212.03533, 2022.</w:t>
      </w:r>
    </w:p>
    <w:p>
      <w:pPr>
        <w:spacing w:lineRule="auto" w:line="480" w:after="0"/>
      </w:pPr>
      <w:r>
        <w:rPr>
          <w:rFonts w:ascii="바탕" w:hAnsi="바탕" w:eastAsia="바탕"/>
          <w:b w:val="0"/>
          <w:sz w:val="21"/>
        </w:rPr>
        <w:t>[36] S. Xiao, Z. Liu, P. Zhang, and N. Muennighoff, "C-Pack: Packed Resources For General Chinese Embeddings (BGE)," arXiv preprint arXiv:2309.07597, 2023.</w:t>
      </w:r>
    </w:p>
    <w:p>
      <w:pPr>
        <w:pStyle w:val="Heading2"/>
        <w:spacing w:lineRule="auto" w:line="360" w:after="160"/>
      </w:pPr>
      <w:r>
        <w:rPr>
          <w:rFonts w:ascii="바탕" w:hAnsi="바탕" w:eastAsia="바탕"/>
          <w:b/>
          <w:sz w:val="24"/>
        </w:rPr>
        <w:t>[7] Reinforcement Learning Foundations and PPO</w:t>
      </w:r>
    </w:p>
    <w:p>
      <w:pPr>
        <w:spacing w:lineRule="auto" w:line="480" w:after="0"/>
      </w:pPr>
      <w:r>
        <w:rPr>
          <w:rFonts w:ascii="바탕" w:hAnsi="바탕" w:eastAsia="바탕"/>
          <w:b w:val="0"/>
          <w:sz w:val="21"/>
        </w:rPr>
        <w:t>[37] J. Schulman, S. Levine, P. Abbeel, M. Jordan, and P. Moritz, "Trust Region Policy Optimization (TRPO)," in Proc. ICML, 2015.</w:t>
      </w:r>
    </w:p>
    <w:p>
      <w:pPr>
        <w:spacing w:lineRule="auto" w:line="480" w:after="0"/>
      </w:pPr>
      <w:r>
        <w:rPr>
          <w:rFonts w:ascii="바탕" w:hAnsi="바탕" w:eastAsia="바탕"/>
          <w:b w:val="0"/>
          <w:sz w:val="21"/>
        </w:rPr>
        <w:t>[38]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[39] J. Schulman, F. Wolski, P. Dhariwal, A. Radford, and O. Klimov, "Proximal Policy Optimization Algorithms," arXiv preprint arXiv:1707.06347, 2017.</w:t>
      </w:r>
    </w:p>
    <w:p>
      <w:pPr>
        <w:spacing w:lineRule="auto" w:line="480" w:after="0"/>
      </w:pPr>
      <w:r>
        <w:rPr>
          <w:rFonts w:ascii="바탕" w:hAnsi="바탕" w:eastAsia="바탕"/>
          <w:b w:val="0"/>
          <w:sz w:val="21"/>
        </w:rPr>
        <w:t>[40] V. Mnih, K. Kavukcuoglu, D. Silver, A. Graves, I. Antonoglou, D. Wierstra, and M. Riedmiller, "Playing Atari with Deep Reinforcement Learning (DQN)," arXiv preprint arXiv:1312.5602, 2013.</w:t>
      </w:r>
    </w:p>
    <w:p>
      <w:pPr>
        <w:spacing w:lineRule="auto" w:line="480" w:after="0"/>
      </w:pPr>
      <w:r>
        <w:rPr>
          <w:rFonts w:ascii="바탕" w:hAnsi="바탕" w:eastAsia="바탕"/>
          <w:b w:val="0"/>
          <w:sz w:val="21"/>
        </w:rPr>
        <w:t>[41] V. Mnih, A. P. Badia, M. Mirza, A. Graves, T. P. Lillicrap, T. Harley, D. Silver, and K. Kavukcuoglu, "Asynchronous Methods for Deep Reinforcement Learning (A3C)," in Proc. ICML, 2016.</w:t>
      </w:r>
    </w:p>
    <w:p>
      <w:pPr>
        <w:spacing w:lineRule="auto" w:line="480" w:after="0"/>
      </w:pPr>
      <w:r>
        <w:rPr>
          <w:rFonts w:ascii="바탕" w:hAnsi="바탕" w:eastAsia="바탕"/>
          <w:b w:val="0"/>
          <w:sz w:val="21"/>
        </w:rPr>
        <w:t>[42] T. Haarnoja, A. Zhou, P. Abbeel, and S. Levine, "Soft Actor-Critic: Off-Policy Maximum Entropy Deep Reinforcement Learning with a Stochastic Actor," in Proc. ICML, 2018.</w:t>
      </w:r>
    </w:p>
    <w:p>
      <w:pPr>
        <w:spacing w:lineRule="auto" w:line="480" w:after="0"/>
      </w:pPr>
      <w:r>
        <w:rPr>
          <w:rFonts w:ascii="바탕" w:hAnsi="바탕" w:eastAsia="바탕"/>
          <w:b w:val="0"/>
          <w:sz w:val="21"/>
        </w:rPr>
        <w:t>[43] R. J. Williams, "Simple Statistical Gradient-Following Algorithms for Connectionist Reinforcement Learning (REINFORCE)," Machine Learning, vol. 8, no. 3-4, pp. 229–256, 1992.</w:t>
      </w:r>
    </w:p>
    <w:p>
      <w:pPr>
        <w:spacing w:lineRule="auto" w:line="480" w:after="0"/>
      </w:pPr>
      <w:r>
        <w:rPr>
          <w:rFonts w:ascii="바탕" w:hAnsi="바탕" w:eastAsia="바탕"/>
          <w:b w:val="0"/>
          <w:sz w:val="21"/>
        </w:rPr>
        <w:t>[44] R. S. Sutton and A. G. Barto, Reinforcement Learning: An Introduction, 2nd ed. Cambridge, MA: MIT Press, 2018.</w:t>
      </w:r>
    </w:p>
    <w:p>
      <w:pPr>
        <w:spacing w:lineRule="auto" w:line="480" w:after="0"/>
      </w:pPr>
      <w:r>
        <w:rPr>
          <w:rFonts w:ascii="바탕" w:hAnsi="바탕" w:eastAsia="바탕"/>
          <w:b w:val="0"/>
          <w:sz w:val="21"/>
        </w:rPr>
        <w:t>[45] L. Engstrom, A. Ilyas, S. Santurkar, D. Tsipras, F. Janoos, L. Rudolph, and A. Madry, "Implementation Matters in Deep Policy Gradients: A Case Study on PPO and TRPO," in Int. Conf. on Learning Representations (ICLR), 2020.</w:t>
      </w:r>
    </w:p>
    <w:p>
      <w:pPr>
        <w:spacing w:lineRule="auto" w:line="480" w:after="0"/>
      </w:pPr>
      <w:r>
        <w:rPr>
          <w:rFonts w:ascii="바탕" w:hAnsi="바탕" w:eastAsia="바탕"/>
          <w:b w:val="0"/>
          <w:sz w:val="21"/>
        </w:rPr>
        <w:t>[46] A. Raffin, A. Hill, A. Gleave, A. Kanervisto, M. Ernestus, and N. Dormann, "Stable-Baselines3: Reliable Reinforcement Learning Implementations," Journal of Machine Learning Research (JMLR), vol. 22, pp. 1–8, 2021.</w:t>
      </w:r>
    </w:p>
    <w:p>
      <w:pPr>
        <w:pStyle w:val="Heading2"/>
        <w:spacing w:lineRule="auto" w:line="360" w:after="160"/>
      </w:pPr>
      <w:r>
        <w:rPr>
          <w:rFonts w:ascii="바탕" w:hAnsi="바탕" w:eastAsia="바탕"/>
          <w:b/>
          <w:sz w:val="24"/>
        </w:rPr>
        <w:t>[8] RLHF, DPO, and LLM Alignment</w:t>
      </w:r>
    </w:p>
    <w:p>
      <w:pPr>
        <w:spacing w:lineRule="auto" w:line="480" w:after="0"/>
      </w:pPr>
      <w:r>
        <w:rPr>
          <w:rFonts w:ascii="바탕" w:hAnsi="바탕" w:eastAsia="바탕"/>
          <w:b w:val="0"/>
          <w:sz w:val="21"/>
        </w:rPr>
        <w:t>[47] P. F. Christiano, J. Leike, T. B. Brown, M. Martic, S. Legg, and D. Amodei, "Deep Reinforcement Learning from Human Preferences," in NeurIPS, vol. 30, 2017.</w:t>
      </w:r>
    </w:p>
    <w:p>
      <w:pPr>
        <w:spacing w:lineRule="auto" w:line="480" w:after="0"/>
      </w:pPr>
      <w:r>
        <w:rPr>
          <w:rFonts w:ascii="바탕" w:hAnsi="바탕" w:eastAsia="바탕"/>
          <w:b w:val="0"/>
          <w:sz w:val="21"/>
        </w:rPr>
        <w:t>[48] N. Stiennon, L. Ouyang, J. Wu, D. M. Ziegler, R. Lowe, C. Voss, A. Radford, D. Amodei, and P. Christiano, "Learning to Summarize from Human Feedback," in NeurIPS, 2020.</w:t>
      </w:r>
    </w:p>
    <w:p>
      <w:pPr>
        <w:spacing w:lineRule="auto" w:line="480" w:after="0"/>
      </w:pPr>
      <w:r>
        <w:rPr>
          <w:rFonts w:ascii="바탕" w:hAnsi="바탕" w:eastAsia="바탕"/>
          <w:b w:val="0"/>
          <w:sz w:val="21"/>
        </w:rPr>
        <w:t>[49] L. Ouyang, J. Wu, X. Jiang, D. Almeida, C. Wainwright, P. Mishkin, et al., "Training Language Models to Follow Instructions with Human Feedback (InstructGPT)," in NeurIPS, 2022.</w:t>
      </w:r>
    </w:p>
    <w:p>
      <w:pPr>
        <w:spacing w:lineRule="auto" w:line="480" w:after="0"/>
      </w:pPr>
      <w:r>
        <w:rPr>
          <w:rFonts w:ascii="바탕" w:hAnsi="바탕" w:eastAsia="바탕"/>
          <w:b w:val="0"/>
          <w:sz w:val="21"/>
        </w:rPr>
        <w:t>[50] R. Rafailov, A. Sharma, E. Mitchell, S. Ermon, C. D. Manning, and C. Finn, "Direct Preference Optimization: Your Language Model is Secretly a Reward Model (DPO)," in NeurIPS, 2023.</w:t>
      </w:r>
    </w:p>
    <w:p>
      <w:pPr>
        <w:spacing w:lineRule="auto" w:line="480" w:after="0"/>
      </w:pPr>
      <w:r>
        <w:rPr>
          <w:rFonts w:ascii="바탕" w:hAnsi="바탕" w:eastAsia="바탕"/>
          <w:b w:val="0"/>
          <w:sz w:val="21"/>
        </w:rPr>
        <w:t>[51] Y. Bai, S. Kadavath, S. Kundu, A. Askell, J. Kernion, A. Jones, et al., "Constitutional AI: Harmlessness from AI Feedback," arXiv preprint arXiv:2212.08073, 2022.</w:t>
      </w:r>
    </w:p>
    <w:p>
      <w:pPr>
        <w:spacing w:lineRule="auto" w:line="480" w:after="0"/>
      </w:pPr>
      <w:r>
        <w:rPr>
          <w:rFonts w:ascii="바탕" w:hAnsi="바탕" w:eastAsia="바탕"/>
          <w:b w:val="0"/>
          <w:sz w:val="21"/>
        </w:rPr>
        <w:t>[52] W. Yuan, R. Y. Pang, K. Cho, X. Li, S. Sukhbaatar, J. Xu, and J. Weston, "Self-Rewarding Language Models," in Proc. ICML, 2024.</w:t>
      </w:r>
    </w:p>
    <w:p>
      <w:pPr>
        <w:spacing w:lineRule="auto" w:line="480" w:after="0"/>
      </w:pPr>
      <w:r>
        <w:rPr>
          <w:rFonts w:ascii="바탕" w:hAnsi="바탕" w:eastAsia="바탕"/>
          <w:b w:val="0"/>
          <w:sz w:val="21"/>
        </w:rPr>
        <w:t>[53] Y. Dong, X. Wang, M. Zheng, Y. Mao, J. Tang, and R. Salakhutdinov, "RAFT: Reward Ranked Fine-Tuning for Generative Foundation Model Alignment," Transactions on Machine Learning Research (TMLR), 2023.</w:t>
      </w:r>
    </w:p>
    <w:p>
      <w:pPr>
        <w:pStyle w:val="Heading2"/>
        <w:spacing w:lineRule="auto" w:line="360" w:after="160"/>
      </w:pPr>
      <w:r>
        <w:rPr>
          <w:rFonts w:ascii="바탕" w:hAnsi="바탕" w:eastAsia="바탕"/>
          <w:b/>
          <w:sz w:val="24"/>
        </w:rPr>
        <w:t>[9] Large Language Models</w:t>
      </w:r>
    </w:p>
    <w:p>
      <w:pPr>
        <w:spacing w:lineRule="auto" w:line="480" w:after="0"/>
      </w:pPr>
      <w:r>
        <w:rPr>
          <w:rFonts w:ascii="바탕" w:hAnsi="바탕" w:eastAsia="바탕"/>
          <w:b w:val="0"/>
          <w:sz w:val="21"/>
        </w:rPr>
        <w:t>[54] T. B. Brown, B. Mann, N. Ryder, M. Subbiah, J. Kaplan, P. Dhariwal, et al., "Language Models are Few-Shot Learners (GPT-3)," in NeurIPS, vol. 33, pp. 1877–1901, 2020.</w:t>
      </w:r>
    </w:p>
    <w:p>
      <w:pPr>
        <w:spacing w:lineRule="auto" w:line="480" w:after="0"/>
      </w:pPr>
      <w:r>
        <w:rPr>
          <w:rFonts w:ascii="바탕" w:hAnsi="바탕" w:eastAsia="바탕"/>
          <w:b w:val="0"/>
          <w:sz w:val="21"/>
        </w:rPr>
        <w:t>[55] OpenAI, "GPT-4 Technical Report," arXiv preprint arXiv:2303.08774, 2023.</w:t>
      </w:r>
    </w:p>
    <w:p>
      <w:pPr>
        <w:spacing w:lineRule="auto" w:line="480" w:after="0"/>
      </w:pPr>
      <w:r>
        <w:rPr>
          <w:rFonts w:ascii="바탕" w:hAnsi="바탕" w:eastAsia="바탕"/>
          <w:b w:val="0"/>
          <w:sz w:val="21"/>
        </w:rPr>
        <w:t>[56] H. Touvron, T. Lavril, G. Izacard, X. Martinet, M.-A. Lachaux, T. Lacroix, et al., "LLaMA: Open and Efficient Foundation Language Models," arXiv preprint arXiv:2302.13971, 2023.</w:t>
      </w:r>
    </w:p>
    <w:p>
      <w:pPr>
        <w:spacing w:lineRule="auto" w:line="480" w:after="0"/>
      </w:pPr>
      <w:r>
        <w:rPr>
          <w:rFonts w:ascii="바탕" w:hAnsi="바탕" w:eastAsia="바탕"/>
          <w:b w:val="0"/>
          <w:sz w:val="21"/>
        </w:rPr>
        <w:t>[57] H. Touvron, L. Martin, K. Stone, P. Albert, A. Almahairi, Y. Babaei, et al., "Llama 2: Open Foundation and Fine-Tuned Chat Models," arXiv preprint arXiv:2307.09288, 2023.</w:t>
      </w:r>
    </w:p>
    <w:p>
      <w:pPr>
        <w:spacing w:lineRule="auto" w:line="480" w:after="0"/>
      </w:pPr>
      <w:r>
        <w:rPr>
          <w:rFonts w:ascii="바탕" w:hAnsi="바탕" w:eastAsia="바탕"/>
          <w:b w:val="0"/>
          <w:sz w:val="21"/>
        </w:rPr>
        <w:t>[58] A. Q. Jiang, A. Sablayrolles, A. Mensch, C. Bamford, D. S. Chaplot, D. de las Casas, et al., "Mistral 7B," arXiv preprint arXiv:2310.06825, 2023.</w:t>
      </w:r>
    </w:p>
    <w:p>
      <w:pPr>
        <w:spacing w:lineRule="auto" w:line="480" w:after="0"/>
      </w:pPr>
      <w:r>
        <w:rPr>
          <w:rFonts w:ascii="바탕" w:hAnsi="바탕" w:eastAsia="바탕"/>
          <w:b w:val="0"/>
          <w:sz w:val="21"/>
        </w:rPr>
        <w:t>[59]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[60] Y. Liu, M. Ott, N. Goyal, J. Du, M. Joshi, D. Chen, et al., "RoBERTa: A Robustly Optimized BERT Pretraining Approach," arXiv preprint arXiv:1907.11692, 2019.</w:t>
      </w:r>
    </w:p>
    <w:p>
      <w:pPr>
        <w:spacing w:lineRule="auto" w:line="480" w:after="0"/>
      </w:pPr>
      <w:r>
        <w:rPr>
          <w:rFonts w:ascii="바탕" w:hAnsi="바탕" w:eastAsia="바탕"/>
          <w:b w:val="0"/>
          <w:sz w:val="21"/>
        </w:rPr>
        <w:t>[61] A. Vaswani, N. Shazeer, N. Parmar, J. Uszkoreit, L. Jones, A. N. Gomez, Ł. Kaiser, and I. Polosukhin, "Attention is All You Need," in NeurIPS, vol. 30, pp. 5998–6008, 2017.</w:t>
      </w:r>
    </w:p>
    <w:p>
      <w:pPr>
        <w:pStyle w:val="Heading2"/>
        <w:spacing w:lineRule="auto" w:line="360" w:after="160"/>
      </w:pPr>
      <w:r>
        <w:rPr>
          <w:rFonts w:ascii="바탕" w:hAnsi="바탕" w:eastAsia="바탕"/>
          <w:b/>
          <w:sz w:val="24"/>
        </w:rPr>
        <w:t>[10] Embeddings and Representation Learning</w:t>
      </w:r>
    </w:p>
    <w:p>
      <w:pPr>
        <w:spacing w:lineRule="auto" w:line="480" w:after="0"/>
      </w:pPr>
      <w:r>
        <w:rPr>
          <w:rFonts w:ascii="바탕" w:hAnsi="바탕" w:eastAsia="바탕"/>
          <w:b w:val="0"/>
          <w:sz w:val="21"/>
        </w:rPr>
        <w:t>[62] N. Reimers and I. Gurevych, "Sentence-BERT: Sentence Embeddings using Siamese BERT-Networks," in Proc. EMNLP-IJCNLP, pp. 3982–3992, 2019.</w:t>
      </w:r>
    </w:p>
    <w:p>
      <w:pPr>
        <w:spacing w:lineRule="auto" w:line="480" w:after="0"/>
      </w:pPr>
      <w:r>
        <w:rPr>
          <w:rFonts w:ascii="바탕" w:hAnsi="바탕" w:eastAsia="바탕"/>
          <w:b w:val="0"/>
          <w:sz w:val="21"/>
        </w:rPr>
        <w:t>[63] T. Mikolov, K. Chen, G. Corrado, and J. Dean, "Efficient Estimation of Word Representations in Vector Space (word2vec)," in ICLR Workshop, 2013.</w:t>
      </w:r>
    </w:p>
    <w:p>
      <w:pPr>
        <w:spacing w:lineRule="auto" w:line="480" w:after="0"/>
      </w:pPr>
      <w:r>
        <w:rPr>
          <w:rFonts w:ascii="바탕" w:hAnsi="바탕" w:eastAsia="바탕"/>
          <w:b w:val="0"/>
          <w:sz w:val="21"/>
        </w:rPr>
        <w:t>[64] J. Lin, R. Nogueira, and A. Yates, Pretrained Transformers for Text Ranking: BERT and Beyond. Morgan &amp; Claypool, 2021.</w:t>
      </w:r>
    </w:p>
    <w:p>
      <w:pPr>
        <w:pStyle w:val="Heading2"/>
        <w:spacing w:lineRule="auto" w:line="360" w:after="160"/>
      </w:pPr>
      <w:r>
        <w:rPr>
          <w:rFonts w:ascii="바탕" w:hAnsi="바탕" w:eastAsia="바탕"/>
          <w:b/>
          <w:sz w:val="24"/>
        </w:rPr>
        <w:t>[11] Korean NLP and Evaluation</w:t>
      </w:r>
    </w:p>
    <w:p>
      <w:pPr>
        <w:spacing w:lineRule="auto" w:line="480" w:after="0"/>
      </w:pPr>
      <w:r>
        <w:rPr>
          <w:rFonts w:ascii="바탕" w:hAnsi="바탕" w:eastAsia="바탕"/>
          <w:b w:val="0"/>
          <w:sz w:val="21"/>
        </w:rPr>
        <w:t>[65] S. Park, J. Moon, S. Kim, J. Y. Cho, J. Han, et al., "KLUE: Korean Language Understanding Evaluation," in NeurIPS Datasets and Benchmarks Track, 2021. (the BERT Intent Classifier in this dissertation uses klue/bert-base)</w:t>
      </w:r>
    </w:p>
    <w:p>
      <w:pPr>
        <w:spacing w:lineRule="auto" w:line="480" w:after="0"/>
      </w:pPr>
      <w:r>
        <w:rPr>
          <w:rFonts w:ascii="바탕" w:hAnsi="바탕" w:eastAsia="바탕"/>
          <w:b w:val="0"/>
          <w:sz w:val="21"/>
        </w:rPr>
        <w:t>[66] S. Lim, M. Kim, and J. Lee, "KorQuAD 1.0: Korean QA Dataset for Machine Reading Comprehension," arXiv preprint arXiv:1909.07005, 2019.</w:t>
      </w:r>
    </w:p>
    <w:p>
      <w:pPr>
        <w:spacing w:lineRule="auto" w:line="480" w:after="0"/>
      </w:pPr>
      <w:r>
        <w:rPr>
          <w:rFonts w:ascii="바탕" w:hAnsi="바탕" w:eastAsia="바탕"/>
          <w:b w:val="0"/>
          <w:sz w:val="21"/>
        </w:rPr>
        <w:t>[67] J. Park, "KoELECTRA: Pretrained ELECTRA Model for Korean," GitHub Repository, 2020. [https://github.com/monologg/KoELECTRA]</w:t>
      </w:r>
    </w:p>
    <w:p>
      <w:pPr>
        <w:spacing w:lineRule="auto" w:line="480" w:after="0"/>
      </w:pPr>
      <w:r>
        <w:rPr>
          <w:rFonts w:ascii="바탕" w:hAnsi="바탕" w:eastAsia="바탕"/>
          <w:b w:val="0"/>
          <w:sz w:val="21"/>
        </w:rPr>
        <w:t>[68] J. Lee, S. Lee, J. Kim, K. Yoo, and Y. Park, "KoBigBird: Pretrained BigBird Model for Korean," GitHub Repository, 2021.</w:t>
      </w:r>
    </w:p>
    <w:p>
      <w:pPr>
        <w:spacing w:lineRule="auto" w:line="480" w:after="0"/>
      </w:pPr>
      <w:r>
        <w:rPr>
          <w:rFonts w:ascii="바탕" w:hAnsi="바탕" w:eastAsia="바탕"/>
          <w:b w:val="0"/>
          <w:sz w:val="21"/>
        </w:rPr>
        <w:t>[69] T. Lee, J. Cho, H. Yang, K. Park, B. Kang, and S. Park, "KorSciDeBERTa: Pre-trained Korean Scientific Language Model," in Proc. KCC (Korea Computer Congress), 2024.</w:t>
      </w:r>
    </w:p>
    <w:p>
      <w:pPr>
        <w:pStyle w:val="Heading2"/>
        <w:spacing w:lineRule="auto" w:line="360" w:after="160"/>
      </w:pPr>
      <w:r>
        <w:rPr>
          <w:rFonts w:ascii="바탕" w:hAnsi="바탕" w:eastAsia="바탕"/>
          <w:b/>
          <w:sz w:val="24"/>
        </w:rPr>
        <w:t>[12] Benchmark Datasets</w:t>
      </w:r>
    </w:p>
    <w:p>
      <w:pPr>
        <w:spacing w:lineRule="auto" w:line="480" w:after="0"/>
      </w:pPr>
      <w:r>
        <w:rPr>
          <w:rFonts w:ascii="바탕" w:hAnsi="바탕" w:eastAsia="바탕"/>
          <w:b w:val="0"/>
          <w:sz w:val="21"/>
        </w:rPr>
        <w:t>[70]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[71]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[72] Q. Jin, B. Dhingra, Z. Liu, W. Cohen, and X. Lu, "PubMedQA: A Dataset for Biomedical Research Question Answering," in Proc. EMNLP-IJCNLP, pp. 2567–2577, 2019.</w:t>
      </w:r>
    </w:p>
    <w:p>
      <w:pPr>
        <w:spacing w:lineRule="auto" w:line="480" w:after="0"/>
      </w:pPr>
      <w:r>
        <w:rPr>
          <w:rFonts w:ascii="바탕" w:hAnsi="바탕" w:eastAsia="바탕"/>
          <w:b w:val="0"/>
          <w:sz w:val="21"/>
        </w:rPr>
        <w:t>[73] T. Kwiatkowski, J. Palomaki, O. Redfield, M. Collins, A. Parikh, C. Alberti, et al., "Natural Questions: A Benchmark for Question Answering Research," Transactions of the Association for Computational Linguistics (TACL), vol. 7, pp. 453–466, 2019.</w:t>
      </w:r>
    </w:p>
    <w:p>
      <w:pPr>
        <w:spacing w:lineRule="auto" w:line="480" w:after="0"/>
      </w:pPr>
      <w:r>
        <w:rPr>
          <w:rFonts w:ascii="바탕" w:hAnsi="바탕" w:eastAsia="바탕"/>
          <w:b w:val="0"/>
          <w:sz w:val="21"/>
        </w:rPr>
        <w:t>[74] M. Joshi, E. Choi, D. Weld, and L. Zettlemoyer, "TriviaQA: A Large Scale Distantly Supervised Challenge Dataset for Reading Comprehension," in Proc. ACL, 2017.</w:t>
      </w:r>
    </w:p>
    <w:p>
      <w:pPr>
        <w:spacing w:lineRule="auto" w:line="480" w:after="0"/>
      </w:pPr>
      <w:r>
        <w:rPr>
          <w:rFonts w:ascii="바탕" w:hAnsi="바탕" w:eastAsia="바탕"/>
          <w:b w:val="0"/>
          <w:sz w:val="21"/>
        </w:rPr>
        <w:t>[75] J. Welbl, P. Stenetorp, and S. Riedel, "Constructing Datasets for Multi-hop Reading Comprehension Across Documents (WikiHop)," Transactions of the Association for Computational Linguistics (TACL), vol. 6, pp. 287–302, 2018.</w:t>
      </w:r>
    </w:p>
    <w:p>
      <w:pPr>
        <w:spacing w:lineRule="auto" w:line="480" w:after="0"/>
      </w:pPr>
      <w:r>
        <w:rPr>
          <w:rFonts w:ascii="바탕" w:hAnsi="바탕" w:eastAsia="바탕"/>
          <w:b w:val="0"/>
          <w:sz w:val="21"/>
        </w:rPr>
        <w:t>[76] P. Rajpurkar, J. Zhang, K. Lopyrev, and P. Liang, "SQuAD: 100,000+ Questions for Machine Comprehension of Text," in Proc. EMNLP, pp. 2383–2392, 2016.</w:t>
      </w:r>
    </w:p>
    <w:p>
      <w:pPr>
        <w:pStyle w:val="Heading2"/>
        <w:spacing w:lineRule="auto" w:line="360" w:after="160"/>
      </w:pPr>
      <w:r>
        <w:rPr>
          <w:rFonts w:ascii="바탕" w:hAnsi="바탕" w:eastAsia="바탕"/>
          <w:b/>
          <w:sz w:val="24"/>
        </w:rPr>
        <w:t>[13] Evaluation Methodology and RAG Evaluation</w:t>
      </w:r>
    </w:p>
    <w:p>
      <w:pPr>
        <w:spacing w:lineRule="auto" w:line="480" w:after="0"/>
      </w:pPr>
      <w:r>
        <w:rPr>
          <w:rFonts w:ascii="바탕" w:hAnsi="바탕" w:eastAsia="바탕"/>
          <w:b w:val="0"/>
          <w:sz w:val="21"/>
        </w:rPr>
        <w:t>[77] S. ES, J. James, L. Espinosa Anke, and S. Schockaert, "RAGAS: Automated Evaluation of Retrieval Augmented Generation," arXiv preprint arXiv:2309.15217, 2023. (foundation of the Faithfulness metric used in this dissertation)</w:t>
      </w:r>
    </w:p>
    <w:p>
      <w:pPr>
        <w:spacing w:lineRule="auto" w:line="480" w:after="0"/>
      </w:pPr>
      <w:r>
        <w:rPr>
          <w:rFonts w:ascii="바탕" w:hAnsi="바탕" w:eastAsia="바탕"/>
          <w:b w:val="0"/>
          <w:sz w:val="21"/>
        </w:rPr>
        <w:t>[78] J. Saad-Falcon, O. Khattab, C. Potts, and M. Zaharia, "ARES: An Automated Evaluation Framework for Retrieval-Augmented Generation Systems," in Proc. NAACL, 2024.</w:t>
      </w:r>
    </w:p>
    <w:p>
      <w:pPr>
        <w:spacing w:lineRule="auto" w:line="480" w:after="0"/>
      </w:pPr>
      <w:r>
        <w:rPr>
          <w:rFonts w:ascii="바탕" w:hAnsi="바탕" w:eastAsia="바탕"/>
          <w:b w:val="0"/>
          <w:sz w:val="21"/>
        </w:rPr>
        <w:t>[79] T. Zhang, V. Kishore, F. Wu, K. Q. Weinberger, and Y. Artzi, "BERTScore: Evaluating Text Generation with BERT," in Int. Conf. on Learning Representations (ICLR), 2020.</w:t>
      </w:r>
    </w:p>
    <w:p>
      <w:pPr>
        <w:spacing w:lineRule="auto" w:line="480" w:after="0"/>
      </w:pPr>
      <w:r>
        <w:rPr>
          <w:rFonts w:ascii="바탕" w:hAnsi="바탕" w:eastAsia="바탕"/>
          <w:b w:val="0"/>
          <w:sz w:val="21"/>
        </w:rPr>
        <w:t>[80] T. Sellam, D. Das, and A. P. Parikh, "BLEURT: Learning Robust Metrics for Text Generation," in Proc. ACL, pp. 7881–7892, 2020.</w:t>
      </w:r>
    </w:p>
    <w:p>
      <w:pPr>
        <w:spacing w:lineRule="auto" w:line="480" w:after="0"/>
      </w:pPr>
      <w:r>
        <w:rPr>
          <w:rFonts w:ascii="바탕" w:hAnsi="바탕" w:eastAsia="바탕"/>
          <w:b w:val="0"/>
          <w:sz w:val="21"/>
        </w:rPr>
        <w:t>[81] Y. Liu, D. Iter, Y. Xu, S. Wang, R. Xu, and C. Zhu, "G-Eval: NLG Evaluation using GPT-4 with Better Human Alignment," in Proc. EMNLP, 2023.</w:t>
      </w:r>
    </w:p>
    <w:p>
      <w:pPr>
        <w:spacing w:lineRule="auto" w:line="480" w:after="0"/>
      </w:pPr>
      <w:r>
        <w:rPr>
          <w:rFonts w:ascii="바탕" w:hAnsi="바탕" w:eastAsia="바탕"/>
          <w:b w:val="0"/>
          <w:sz w:val="21"/>
        </w:rPr>
        <w:t>[82] K. Papineni, S. Roukos, T. Ward, and W.-J. Zhu, "BLEU: a Method for Automatic Evaluation of Machine Translation," in Proc. ACL, pp. 311–318, 2002.</w:t>
      </w:r>
    </w:p>
    <w:p>
      <w:pPr>
        <w:spacing w:lineRule="auto" w:line="480" w:after="0"/>
      </w:pPr>
      <w:r>
        <w:rPr>
          <w:rFonts w:ascii="바탕" w:hAnsi="바탕" w:eastAsia="바탕"/>
          <w:b w:val="0"/>
          <w:sz w:val="21"/>
        </w:rPr>
        <w:t>[83] C.-Y. Lin, "ROUGE: A Package for Automatic Evaluation of Summaries," in Text Summarization Branches Out (ACL Workshop), 2004.</w:t>
      </w:r>
    </w:p>
    <w:p>
      <w:pPr>
        <w:pStyle w:val="Heading2"/>
        <w:spacing w:lineRule="auto" w:line="360" w:after="160"/>
      </w:pPr>
      <w:r>
        <w:rPr>
          <w:rFonts w:ascii="바탕" w:hAnsi="바탕" w:eastAsia="바탕"/>
          <w:b/>
          <w:sz w:val="24"/>
        </w:rPr>
        <w:t>[14] Hallucination and Faithfulness</w:t>
      </w:r>
    </w:p>
    <w:p>
      <w:pPr>
        <w:spacing w:lineRule="auto" w:line="480" w:after="0"/>
      </w:pPr>
      <w:r>
        <w:rPr>
          <w:rFonts w:ascii="바탕" w:hAnsi="바탕" w:eastAsia="바탕"/>
          <w:b w:val="0"/>
          <w:sz w:val="21"/>
        </w:rPr>
        <w:t>[84] J. Maynez, S. Narayan, B. Bohnet, and R. McDonald, "On Faithfulness and Factuality in Abstractive Summarization," in Proc. ACL, pp. 1906–1919, 2020.</w:t>
      </w:r>
    </w:p>
    <w:p>
      <w:pPr>
        <w:spacing w:lineRule="auto" w:line="480" w:after="0"/>
      </w:pPr>
      <w:r>
        <w:rPr>
          <w:rFonts w:ascii="바탕" w:hAnsi="바탕" w:eastAsia="바탕"/>
          <w:b w:val="0"/>
          <w:sz w:val="21"/>
        </w:rPr>
        <w:t>[85] Z. Ji, N. Lee, R. Frieske, T. Yu, D. Su, Y. Xu, et al., "Survey of Hallucination in Natural Language Generation," ACM Computing Surveys, vol. 55, no. 12, pp. 1–38, 2023.</w:t>
      </w:r>
    </w:p>
    <w:p>
      <w:pPr>
        <w:spacing w:lineRule="auto" w:line="480" w:after="0"/>
      </w:pPr>
      <w:r>
        <w:rPr>
          <w:rFonts w:ascii="바탕" w:hAnsi="바탕" w:eastAsia="바탕"/>
          <w:b w:val="0"/>
          <w:sz w:val="21"/>
        </w:rPr>
        <w:t>[86] P. Manakul, A. Liusie, and M. J. F. Gales, "SelfCheckGPT: Zero-Resource Black-Box Hallucination Detection for Generative Large Language Models," in Proc. EMNLP, 2023.</w:t>
      </w:r>
    </w:p>
    <w:p>
      <w:pPr>
        <w:spacing w:lineRule="auto" w:line="480" w:after="0"/>
      </w:pPr>
      <w:r>
        <w:rPr>
          <w:rFonts w:ascii="바탕" w:hAnsi="바탕" w:eastAsia="바탕"/>
          <w:b w:val="0"/>
          <w:sz w:val="21"/>
        </w:rPr>
        <w:t>[87] S. Lin, J. Hilton, and O. Evans, "TruthfulQA: Measuring How Models Mimic Human Falsehoods," in Proc. ACL, 2022.</w:t>
      </w:r>
    </w:p>
    <w:p>
      <w:pPr>
        <w:spacing w:lineRule="auto" w:line="480" w:after="0"/>
      </w:pPr>
      <w:r>
        <w:rPr>
          <w:rFonts w:ascii="바탕" w:hAnsi="바탕" w:eastAsia="바탕"/>
          <w:b w:val="0"/>
          <w:sz w:val="21"/>
        </w:rPr>
        <w:t>[88] S. Min, K. Krishna, X. Lyu, M. Lewis, W.-T. Yih, P. Koh, M. Iyyer, L. Zettlemoyer, and H. Hajishirzi, "FActScore: Fine-grained Atomic Evaluation of Factual Precision in Long Form Text Generation," in Proc. EMNLP, 2023.</w:t>
      </w:r>
    </w:p>
    <w:p>
      <w:pPr>
        <w:pStyle w:val="Heading2"/>
        <w:spacing w:lineRule="auto" w:line="360" w:after="160"/>
      </w:pPr>
      <w:r>
        <w:rPr>
          <w:rFonts w:ascii="바탕" w:hAnsi="바탕" w:eastAsia="바탕"/>
          <w:b/>
          <w:sz w:val="24"/>
        </w:rPr>
        <w:t>[15] Reasoning and Prompting</w:t>
      </w:r>
    </w:p>
    <w:p>
      <w:pPr>
        <w:spacing w:lineRule="auto" w:line="480" w:after="0"/>
      </w:pPr>
      <w:r>
        <w:rPr>
          <w:rFonts w:ascii="바탕" w:hAnsi="바탕" w:eastAsia="바탕"/>
          <w:b w:val="0"/>
          <w:sz w:val="21"/>
        </w:rPr>
        <w:t>[89] J. Wei, X. Wang, D. Schuurmans, M. Bosma, B. Ichter, F. Xia, E. H. Chi, Q. V. Le, and D. Zhou, "Chain-of-Thought Prompting Elicits Reasoning in Large Language Models," in NeurIPS, 2022.</w:t>
      </w:r>
    </w:p>
    <w:p>
      <w:pPr>
        <w:spacing w:lineRule="auto" w:line="480" w:after="0"/>
      </w:pPr>
      <w:r>
        <w:rPr>
          <w:rFonts w:ascii="바탕" w:hAnsi="바탕" w:eastAsia="바탕"/>
          <w:b w:val="0"/>
          <w:sz w:val="21"/>
        </w:rPr>
        <w:t>[90] T. Kojima, S. S. Gu, M. Reid, Y. Matsuo, and Y. Iwasawa, "Large Language Models are Zero-Shot Reasoners," in NeurIPS, 2022.</w:t>
      </w:r>
    </w:p>
    <w:p>
      <w:pPr>
        <w:spacing w:lineRule="auto" w:line="480" w:after="0"/>
      </w:pPr>
      <w:r>
        <w:rPr>
          <w:rFonts w:ascii="바탕" w:hAnsi="바탕" w:eastAsia="바탕"/>
          <w:b w:val="0"/>
          <w:sz w:val="21"/>
        </w:rPr>
        <w:t>[91] S. Yao, D. Yu, J. Zhao, I. Shafran, T. L. Griffiths, Y. Cao, and K. Narasimhan, "Tree of Thoughts: Deliberate Problem Solving with Large Language Models," in NeurIPS, 2023.</w:t>
      </w:r>
    </w:p>
    <w:p>
      <w:pPr>
        <w:spacing w:lineRule="auto" w:line="480" w:after="0"/>
      </w:pPr>
      <w:r>
        <w:rPr>
          <w:rFonts w:ascii="바탕" w:hAnsi="바탕" w:eastAsia="바탕"/>
          <w:b w:val="0"/>
          <w:sz w:val="21"/>
        </w:rPr>
        <w:t>[92] J. Wei, Y. Tay, R. Bommasani, C. Raffel, B. Zoph, S. Borgeaud, et al., "Emergent Abilities of Large Language Models," Transactions on Machine Learning Research (TMLR), 2022.</w:t>
      </w:r>
    </w:p>
    <w:p>
      <w:pPr>
        <w:spacing w:lineRule="auto" w:line="480" w:after="0"/>
      </w:pPr>
      <w:r>
        <w:rPr>
          <w:rFonts w:ascii="바탕" w:hAnsi="바탕" w:eastAsia="바탕"/>
          <w:b w:val="0"/>
          <w:sz w:val="21"/>
        </w:rPr>
        <w:t>[93] T. Schick, J. Dwivedi-Yu, R. Dessì, R. Raileanu, M. Lomeli, L. Zettlemoyer, N. Cancedda, and T. Scialom, "Toolformer: Language Models Can Teach Themselves to Use Tools," in NeurIPS, 2023.</w:t>
      </w:r>
    </w:p>
    <w:p>
      <w:pPr>
        <w:pStyle w:val="Heading2"/>
        <w:spacing w:lineRule="auto" w:line="360" w:after="160"/>
      </w:pPr>
      <w:r>
        <w:rPr>
          <w:rFonts w:ascii="바탕" w:hAnsi="바탕" w:eastAsia="바탕"/>
          <w:b/>
          <w:sz w:val="24"/>
        </w:rPr>
        <w:t>[16] Statistical Methods and RL Reproducibility</w:t>
      </w:r>
    </w:p>
    <w:p>
      <w:pPr>
        <w:spacing w:lineRule="auto" w:line="480" w:after="0"/>
      </w:pPr>
      <w:r>
        <w:rPr>
          <w:rFonts w:ascii="바탕" w:hAnsi="바탕" w:eastAsia="바탕"/>
          <w:b w:val="0"/>
          <w:sz w:val="21"/>
        </w:rPr>
        <w:t>[94] B. Efron, "Better Bootstrap Confidence Intervals," Journal of the American Statistical Association, vol. 82, no. 397, pp. 171–185, 1987. (origin of the BCa 95% CI used in Ch. VI §3 of this dissertation)</w:t>
      </w:r>
    </w:p>
    <w:p>
      <w:pPr>
        <w:spacing w:lineRule="auto" w:line="480" w:after="0"/>
      </w:pPr>
      <w:r>
        <w:rPr>
          <w:rFonts w:ascii="바탕" w:hAnsi="바탕" w:eastAsia="바탕"/>
          <w:b w:val="0"/>
          <w:sz w:val="21"/>
        </w:rPr>
        <w:t>[95] T. J. DiCiccio and B. Efron, "Bootstrap Confidence Intervals," Statistical Science, vol. 11, no. 3, pp. 189–228, 1996.</w:t>
      </w:r>
    </w:p>
    <w:p>
      <w:pPr>
        <w:spacing w:lineRule="auto" w:line="480" w:after="0"/>
      </w:pPr>
      <w:r>
        <w:rPr>
          <w:rFonts w:ascii="바탕" w:hAnsi="바탕" w:eastAsia="바탕"/>
          <w:b w:val="0"/>
          <w:sz w:val="21"/>
        </w:rPr>
        <w:t>[96] J. Cohen, Statistical Power Analysis for the Behavioral Sciences, 2nd ed. Hillsdale, NJ: Lawrence Erlbaum, 1988. (definition of Cohen's d_z effect size)</w:t>
      </w:r>
    </w:p>
    <w:p>
      <w:pPr>
        <w:spacing w:lineRule="auto" w:line="480" w:after="0"/>
      </w:pPr>
      <w:r>
        <w:rPr>
          <w:rFonts w:ascii="바탕" w:hAnsi="바탕" w:eastAsia="바탕"/>
          <w:b w:val="0"/>
          <w:sz w:val="21"/>
        </w:rPr>
        <w:t>[97] J. Pineau, P. Vincent-Lamarre, K. Sinha, V. Larivière, A. Beygelzimer, F. d'Alché-Buc, E. Fox, and H. Larochelle, "Improving Reproducibility in Machine Learning Research," Journal of Machine Learning Research (JMLR), vol. 22, pp. 1–20, 2021.</w:t>
      </w:r>
    </w:p>
    <w:p>
      <w:pPr>
        <w:spacing w:lineRule="auto" w:line="480" w:after="0"/>
      </w:pPr>
      <w:r>
        <w:rPr>
          <w:rFonts w:ascii="바탕" w:hAnsi="바탕" w:eastAsia="바탕"/>
          <w:b w:val="0"/>
          <w:sz w:val="21"/>
        </w:rPr>
        <w:t>[98] P. Henderson, R. Islam, P. Bachman, J. Pineau, D. Precup, and D. Meger, "Deep Reinforcement Learning that Matters," in Proc. AAAI, 2018.</w:t>
      </w:r>
    </w:p>
    <w:p>
      <w:pPr>
        <w:pStyle w:val="Heading2"/>
        <w:spacing w:lineRule="auto" w:line="360" w:after="160"/>
      </w:pPr>
      <w:r>
        <w:rPr>
          <w:rFonts w:ascii="바탕" w:hAnsi="바탕" w:eastAsia="바탕"/>
          <w:b/>
          <w:sz w:val="24"/>
        </w:rPr>
        <w:t>[17] Tools and Implementation Dependencies</w:t>
      </w:r>
    </w:p>
    <w:p>
      <w:pPr>
        <w:spacing w:lineRule="auto" w:line="480" w:after="0"/>
      </w:pPr>
      <w:r>
        <w:rPr>
          <w:rFonts w:ascii="바탕" w:hAnsi="바탕" w:eastAsia="바탕"/>
          <w:b w:val="0"/>
          <w:sz w:val="21"/>
        </w:rPr>
        <w:t>[99]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[100] A. A. Hagberg, D. A. Schult, and P. J. Swart, "Exploring Network Structure, Dynamics, and Function using NetworkX," in Proc. 7th Python in Science Conference (SciPy), pp. 11–15, 2008. [https://networkx.org]</w:t>
      </w:r>
    </w:p>
    <w:p>
      <w:pPr>
        <w:pStyle w:val="Heading2"/>
        <w:spacing w:lineRule="auto" w:line="360" w:after="160"/>
      </w:pPr>
      <w:r>
        <w:rPr>
          <w:rFonts w:ascii="바탕" w:hAnsi="바탕" w:eastAsia="바탕"/>
          <w:b/>
          <w:sz w:val="24"/>
        </w:rPr>
        <w:t>Editorial Conventions</w:t>
      </w:r>
    </w:p>
    <w:p>
      <w:pPr>
        <w:pStyle w:val="ListNumber"/>
        <w:spacing w:lineRule="auto" w:line="360" w:after="0"/>
      </w:pPr>
      <w:r>
        <w:rPr>
          <w:rFonts w:ascii="바탕" w:hAnsi="바탕" w:eastAsia="바탕"/>
          <w:b w:val="0"/>
          <w:sz w:val="21"/>
        </w:rPr>
        <w:t>IEEE-style ordering. Within a category, multi-author publications by the same lead author are ordered by year (descending).</w:t>
      </w:r>
    </w:p>
    <w:p>
      <w:pPr>
        <w:pStyle w:val="ListNumber"/>
        <w:spacing w:lineRule="auto" w:line="360" w:after="0"/>
      </w:pPr>
      <w:r>
        <w:rPr>
          <w:rFonts w:ascii="바탕" w:hAnsi="바탕" w:eastAsia="바탕"/>
          <w:b w:val="0"/>
          <w:sz w:val="21"/>
        </w:rPr>
        <w:t>Body-to-list mapping. Every in-text citation in the form "(Author, Year)" or "Author et al. (Year)" is mapped 1:1 to a numbered entry in this list.</w:t>
      </w:r>
    </w:p>
    <w:p>
      <w:pPr>
        <w:pStyle w:val="ListNumber"/>
        <w:spacing w:lineRule="auto" w:line="360" w:after="0"/>
      </w:pPr>
      <w:r>
        <w:rPr>
          <w:rFonts w:ascii="바탕" w:hAnsi="바탕" w:eastAsia="바탕"/>
          <w:b w:val="0"/>
          <w:sz w:val="21"/>
        </w:rPr>
        <w:t>Software references. A small number of essential software tools required to reproduce this dissertation (FAISS, NetworkX) are included in §17 as scholarly citations. Other tools and online resources used during this research are listed in the supplementary section below.</w:t>
      </w:r>
    </w:p>
    <w:p>
      <w:pPr>
        <w:pStyle w:val="ListNumber"/>
        <w:spacing w:lineRule="auto" w:line="360" w:after="0"/>
      </w:pPr>
      <w:r>
        <w:rPr>
          <w:rFonts w:ascii="바탕" w:hAnsi="바탕" w:eastAsia="바탕"/>
          <w:b w:val="0"/>
          <w:sz w:val="21"/>
        </w:rPr>
        <w:t>CORRIGENDUM as evidence. The evaluation-infrastructure rectification reported in Ch. VI §1.4 and §3.3 of this dissertation is published openly via the GitHub repository linked in entry [1].</w:t>
      </w:r>
    </w:p>
    <w:p>
      <w:pPr>
        <w:pStyle w:val="ListNumber"/>
        <w:spacing w:lineRule="auto" w:line="360" w:after="0"/>
      </w:pPr>
      <w:r>
        <w:rPr>
          <w:rFonts w:ascii="바탕" w:hAnsi="바탕" w:eastAsia="바탕"/>
          <w:b w:val="0"/>
          <w:sz w:val="21"/>
        </w:rPr>
        <w:t>Total: 17 categories, 100 entries.</w:t>
      </w:r>
    </w:p>
    <w:p>
      <w:pPr>
        <w:pStyle w:val="Heading2"/>
        <w:spacing w:lineRule="auto" w:line="360" w:after="160"/>
      </w:pPr>
      <w:r>
        <w:rPr>
          <w:rFonts w:ascii="바탕" w:hAnsi="바탕" w:eastAsia="바탕"/>
          <w:b/>
          <w:sz w:val="24"/>
        </w:rPr>
        <w:t>Supplementary References (cited in footnotes / appendices, not part of the numbered list)</w:t>
      </w:r>
    </w:p>
    <w:p>
      <w:pPr>
        <w:pStyle w:val="ListBullet"/>
        <w:spacing w:lineRule="auto" w:line="360" w:after="0"/>
      </w:pPr>
      <w:r>
        <w:rPr>
          <w:rFonts w:ascii="바탕" w:hAnsi="바탕" w:eastAsia="바탕"/>
          <w:b w:val="0"/>
          <w:sz w:val="21"/>
        </w:rPr>
        <w:t>Owlready2 — J.-B. Lamy, "Owlready: Ontology-oriented programming in Python with automatic classification and high level constructs for biomedical ontologies," Artificial Intelligence in Medicine, vol. 80, pp. 11–28, 2017. [Used as the Ontology source backend in Ch. III §2.3.]</w:t>
      </w:r>
    </w:p>
    <w:p>
      <w:pPr>
        <w:pStyle w:val="ListBullet"/>
        <w:spacing w:lineRule="auto" w:line="360" w:after="0"/>
      </w:pPr>
      <w:r>
        <w:rPr>
          <w:rFonts w:ascii="바탕" w:hAnsi="바탕" w:eastAsia="바탕"/>
          <w:b w:val="0"/>
          <w:sz w:val="21"/>
        </w:rPr>
        <w:t>HermiT OWL Reasoner — R. Shearer, B. Motik, and I. Horrocks, "HermiT: A Highly-Efficient OWL Reasoner," in OWL: Experiences and Directions (OWLED) Workshop, 2008. [Used as the reasoner fallback in Ch. III §2.3.]</w:t>
      </w:r>
    </w:p>
    <w:p>
      <w:pPr>
        <w:pStyle w:val="ListBullet"/>
        <w:spacing w:lineRule="auto" w:line="360" w:after="0"/>
      </w:pPr>
      <w:r>
        <w:rPr>
          <w:rFonts w:ascii="바탕" w:hAnsi="바탕" w:eastAsia="바탕"/>
          <w:b w:val="0"/>
          <w:sz w:val="21"/>
        </w:rPr>
        <w:t>PyTorch — A. Paszke, S. Gross, F. Massa, A. Lerer, J. Bradbury, et al., "PyTorch: An Imperative Style, High-Performance Deep Learning Library," in NeurIPS, vol. 32, pp. 8024–8035, 2019.</w:t>
      </w:r>
    </w:p>
    <w:p>
      <w:pPr>
        <w:pStyle w:val="ListBullet"/>
        <w:spacing w:lineRule="auto" w:line="360" w:after="0"/>
      </w:pPr>
      <w:r>
        <w:rPr>
          <w:rFonts w:ascii="바탕" w:hAnsi="바탕" w:eastAsia="바탕"/>
          <w:b w:val="0"/>
          <w:sz w:val="21"/>
        </w:rPr>
        <w:t>Hugging Face Transformers — T. Wolf, L. Debut, V. Sanh, J. Chaumond, C. Delangue, et al., "Transformers: State-of-the-Art Natural Language Processing," in Proc. EMNLP Demo Track, pp. 38–45, 2020.</w:t>
      </w:r>
    </w:p>
    <w:p>
      <w:pPr>
        <w:pStyle w:val="ListBullet"/>
        <w:spacing w:lineRule="auto" w:line="360" w:after="0"/>
      </w:pPr>
      <w:r>
        <w:rPr>
          <w:rFonts w:ascii="바탕" w:hAnsi="바탕" w:eastAsia="바탕"/>
          <w:b w:val="0"/>
          <w:sz w:val="21"/>
        </w:rPr>
        <w:t>NumPy — C. R. Harris, K. J. Millman, S. J. van der Walt, et al., "Array Programming with NumPy," Nature, vol. 585, pp. 357–362, 2020.</w:t>
      </w:r>
    </w:p>
    <w:p>
      <w:pPr>
        <w:pStyle w:val="ListBullet"/>
        <w:spacing w:lineRule="auto" w:line="360" w:after="0"/>
      </w:pPr>
      <w:r>
        <w:rPr>
          <w:rFonts w:ascii="바탕" w:hAnsi="바탕" w:eastAsia="바탕"/>
          <w:b w:val="0"/>
          <w:sz w:val="21"/>
        </w:rPr>
        <w:t>Streamlit — Streamlit Inc., "Streamlit: The Fastest Way to Build and Share Data Apps," 2024. [Used to implement the dashboard accompanying this dissertation.]</w:t>
      </w:r>
    </w:p>
    <w:p>
      <w:pPr>
        <w:pStyle w:val="ListBullet"/>
        <w:spacing w:lineRule="auto" w:line="360" w:after="0"/>
      </w:pPr>
      <w:r>
        <w:rPr>
          <w:rFonts w:ascii="바탕" w:hAnsi="바탕" w:eastAsia="바탕"/>
          <w:b w:val="0"/>
          <w:sz w:val="21"/>
        </w:rPr>
        <w:t>OpenAI GPT-4o-mini — OpenAI, "GPT-4o-mini Technical Report," 2024 (gpt-4o-mini-2024-07-18). [All LLM calls in this dissertation use this model.]</w:t>
      </w:r>
    </w:p>
    <w:p>
      <w:pPr>
        <w:pStyle w:val="ListBullet"/>
        <w:spacing w:lineRule="auto" w:line="360" w:after="0"/>
      </w:pPr>
      <w:r>
        <w:rPr>
          <w:rFonts w:ascii="바탕" w:hAnsi="바탕" w:eastAsia="바탕"/>
          <w:b w:val="0"/>
          <w:sz w:val="21"/>
        </w:rPr>
        <w:t>OpenAI text-embedding-3-small — OpenAI, 2024. [Used for 1,536-dim Vector embeddings.]</w:t>
      </w:r>
    </w:p>
    <w:p>
      <w:pPr>
        <w:pStyle w:val="ListBullet"/>
        <w:spacing w:lineRule="auto" w:line="360" w:after="0"/>
      </w:pPr>
      <w:r>
        <w:rPr>
          <w:rFonts w:ascii="바탕" w:hAnsi="바탕" w:eastAsia="바탕"/>
          <w:b w:val="0"/>
          <w:sz w:val="21"/>
        </w:rPr>
        <w:t>This dissertation's repository: https://github.com/sdw1621/triple-rag-phd</w:t>
      </w:r>
    </w:p>
    <w:p>
      <w:pPr>
        <w:pStyle w:val="ListBullet"/>
        <w:spacing w:lineRule="auto" w:line="360" w:after="0"/>
      </w:pPr>
      <w:r>
        <w:rPr>
          <w:rFonts w:ascii="바탕" w:hAnsi="바탕" w:eastAsia="바탕"/>
          <w:b w:val="0"/>
          <w:sz w:val="21"/>
        </w:rPr>
        <w:t>Prior repository (with CORRIGENDUM): https://github.com/sdw1621/hybrid-rag-comparsion/blob/main/CORRIGENDUM.md</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