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pStyle w:val="Heading2"/>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5월</w:t>
      </w:r>
    </w:p>
    <w:p>
      <w:pPr>
        <w:spacing w:lineRule="auto" w:line="480" w:after="0"/>
      </w:pPr>
      <w:r>
        <w:rPr>
          <w:rFonts w:ascii="바탕" w:hAnsi="바탕" w:eastAsia="바탕"/>
          <w:b w:val="0"/>
          <w:sz w:val="21"/>
        </w:rPr>
        <w:t>학위: 박사</w:t>
      </w:r>
    </w:p>
    <w:p>
      <w:pPr>
        <w:pStyle w:val="Heading1"/>
        <w:spacing w:lineRule="auto" w:line="360" w:after="160"/>
        <w:jc w:val="center"/>
      </w:pPr>
      <w:r>
        <w:rPr>
          <w:rFonts w:ascii="바탕" w:hAnsi="바탕" w:eastAsia="바탕"/>
          <w:b/>
          <w:sz w:val="28"/>
        </w:rPr>
        <w:t>Ⅰ. 서론</w:t>
      </w:r>
    </w:p>
    <w:p>
      <w:pPr>
        <w:pStyle w:val="Heading2"/>
        <w:spacing w:lineRule="auto" w:line="360" w:after="160"/>
      </w:pPr>
      <w:r>
        <w:rPr>
          <w:rFonts w:ascii="바탕" w:hAnsi="바탕" w:eastAsia="바탕"/>
          <w:b/>
          <w:sz w:val="24"/>
        </w:rPr>
        <w:t>1.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pStyle w:val="Heading2"/>
        <w:spacing w:lineRule="auto" w:line="360" w:after="160"/>
      </w:pPr>
      <w:r>
        <w:rPr>
          <w:rFonts w:ascii="바탕" w:hAnsi="바탕" w:eastAsia="바탕"/>
          <w:b/>
          <w:sz w:val="24"/>
        </w:rPr>
        <w:t>2.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pStyle w:val="Heading2"/>
        <w:spacing w:lineRule="auto" w:line="360" w:after="160"/>
      </w:pPr>
      <w:r>
        <w:rPr>
          <w:rFonts w:ascii="바탕" w:hAnsi="바탕" w:eastAsia="바탕"/>
          <w:b/>
          <w:sz w:val="24"/>
        </w:rPr>
        <w:t>3.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pStyle w:val="Heading3"/>
        <w:spacing w:lineRule="auto" w:line="360" w:after="160"/>
      </w:pPr>
      <w:r>
        <w:rPr>
          <w:rFonts w:ascii="바탕" w:hAnsi="바탕" w:eastAsia="바탕"/>
          <w:b/>
          <w:sz w:val="22"/>
        </w:rPr>
        <w:t>가.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(Ch.5 §1).</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(Ch.5 §3, Ch.6 §5).</w:t>
      </w:r>
    </w:p>
    <w:p>
      <w:pPr>
        <w:pStyle w:val="Heading3"/>
        <w:spacing w:lineRule="auto" w:line="360" w:after="160"/>
      </w:pPr>
      <w:r>
        <w:rPr>
          <w:rFonts w:ascii="바탕" w:hAnsi="바탕" w:eastAsia="바탕"/>
          <w:b/>
          <w:sz w:val="22"/>
        </w:rPr>
        <w:t>나. 실증적 기여</w:t>
      </w:r>
    </w:p>
    <w:p>
      <w:pPr>
        <w:spacing w:lineRule="auto" w:line="480" w:after="0"/>
      </w:pPr>
      <w:r>
        <w:rPr>
          <w:rFonts w:ascii="바탕" w:hAnsi="바탕" w:eastAsia="바탕"/>
          <w:b w:val="0"/>
          <w:sz w:val="21"/>
        </w:rPr>
        <w:t>합성 대학 5,000 QA 벤치마크에서 측정한 핵심 수치는 다음과 같다. Corrected baseline (§3.4 참조) 조건에서 L-DWA 의 3-seed 평균 F1&lt;sub&gt;strict&lt;/sub&gt; 는 0.562 ± 0.007 로, R-DWA 의 0.529 대비 6.2% 개선되었다. 더 흥미로운 점은 L-DWA 가 66-점 이산 격자에서의 per-query argmax Oracle (0.554) 을 F1&lt;sub&gt;strict&lt;/sub&gt;, F1&lt;sub&gt;substring&lt;/sub&gt;, F1&lt;sub&gt;char&lt;/sub&gt;, Faithfulness 모든 축에서 조금씩 넘어선다는 사실이다. 연속 Dirichlet 평균이 이산 격자 바깥의 공간을 활용하고 있다는 해석이 자연스럽다 (Ch.6 §3).</w:t>
      </w:r>
    </w:p>
    <w:p>
      <w:pPr>
        <w:spacing w:lineRule="auto" w:line="480" w:after="0"/>
      </w:pPr>
      <w:r>
        <w:rPr>
          <w:rFonts w:ascii="바탕" w:hAnsi="바탕" w:eastAsia="바탕"/>
          <w:b w:val="0"/>
          <w:sz w:val="21"/>
        </w:rPr>
        <w:t>질의 유형별로 쪼개어 보면 조건부 질의(conditional query) 에서 개선 폭이 가장 크다. R-DWA 0.223 대비 L-DWA 3-seed 평균 0.285 로 27.8% 향상되며, 이 영역에서 Oracle 0.290 과 사실상 동등 수준 (이산 상한 도달) 에 이른다 (Ch.6 §4).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(Ch.6 §7).</w:t>
      </w:r>
    </w:p>
    <w:p>
      <w:pPr>
        <w:pStyle w:val="Heading3"/>
        <w:spacing w:lineRule="auto" w:line="360" w:after="160"/>
      </w:pPr>
      <w:r>
        <w:rPr>
          <w:rFonts w:ascii="바탕" w:hAnsi="바탕" w:eastAsia="바탕"/>
          <w:b/>
          <w:sz w:val="22"/>
        </w:rPr>
        <w:t>다.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(Ch.5 §4).</w:t>
      </w:r>
    </w:p>
    <w:p>
      <w:pPr>
        <w:pStyle w:val="Heading3"/>
        <w:spacing w:lineRule="auto" w:line="360" w:after="160"/>
      </w:pPr>
      <w:r>
        <w:rPr>
          <w:rFonts w:ascii="바탕" w:hAnsi="바탕" w:eastAsia="바탕"/>
          <w:b/>
          <w:sz w:val="22"/>
        </w:rPr>
        <w:t>라.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(Ch.6 §1.4, §3.3).</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F1&lt;sub&gt;strict&lt;/sub&gt;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(Ch.6 §1.3).</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 또한 5,000 query-level paired bootstrap (BCa 보정 95% CI, 5,000 resamples) 을 도입하여 정책 차이의 통계적 유의성과 효과 크기 (Cohen's d&lt;sub&gt;z&lt;/sub&gt;) 까지 정량적으로 보고하며, cache regime 에서 R-DWA 가 Uniform/Vector-only 정책보다 유의하게 낮게 측정된다는 부수 발견까지 자발적으로 노출한다 (Ch.6 §3 아).</w:t>
      </w:r>
    </w:p>
    <w:p>
      <w:pPr>
        <w:pStyle w:val="Heading2"/>
        <w:spacing w:lineRule="auto" w:line="360" w:after="160"/>
      </w:pPr>
      <w:r>
        <w:rPr>
          <w:rFonts w:ascii="바탕" w:hAnsi="바탕" w:eastAsia="바탕"/>
          <w:b/>
          <w:sz w:val="24"/>
        </w:rPr>
        <w:t>4.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pStyle w:val="ListBullet"/>
        <w:spacing w:lineRule="auto" w:line="360" w:after="0"/>
      </w:pPr>
      <w:r>
        <w:rPr>
          <w:rFonts w:ascii="바탕" w:hAnsi="바탕" w:eastAsia="바탕"/>
          <w:b w:val="0"/>
          <w:sz w:val="21"/>
        </w:rPr>
        <w:t>List-prompt regime 에서의 Uniform 정책 paired bootstrap 비교 (Ch.6 §3 아 의 cache regime 결과를 보완하기 위한 분석으로, Ch.6 §8 나의 1순위 향후 연구로 명시)</w:t>
      </w:r>
    </w:p>
    <w:p>
      <w:pPr>
        <w:pStyle w:val="Heading2"/>
        <w:spacing w:lineRule="auto" w:line="360" w:after="160"/>
      </w:pPr>
      <w:r>
        <w:rPr>
          <w:rFonts w:ascii="바탕" w:hAnsi="바탕" w:eastAsia="바탕"/>
          <w:b/>
          <w:sz w:val="24"/>
        </w:rPr>
        <w:t>5.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pStyle w:val="Heading2"/>
        <w:spacing w:lineRule="auto" w:line="360" w:after="160"/>
      </w:pPr>
      <w:r>
        <w:rPr>
          <w:rFonts w:ascii="바탕" w:hAnsi="바탕" w:eastAsia="바탕"/>
          <w:b/>
          <w:sz w:val="24"/>
        </w:rPr>
        <w:t>6.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pStyle w:val="Heading1"/>
        <w:spacing w:lineRule="auto" w:line="360" w:after="160"/>
        <w:jc w:val="center"/>
      </w:pPr>
      <w:r>
        <w:rPr>
          <w:rFonts w:ascii="바탕" w:hAnsi="바탕" w:eastAsia="바탕"/>
          <w:b/>
          <w:sz w:val="28"/>
        </w:rPr>
        <w:t>Ⅱ. 관련 연구</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pStyle w:val="Heading2"/>
        <w:spacing w:lineRule="auto" w:line="360" w:after="160"/>
      </w:pPr>
      <w:r>
        <w:rPr>
          <w:rFonts w:ascii="바탕" w:hAnsi="바탕" w:eastAsia="바탕"/>
          <w:b/>
          <w:sz w:val="24"/>
        </w:rPr>
        <w:t>1. RAG의 진화와 하이브리드 접근</w:t>
      </w:r>
    </w:p>
    <w:p>
      <w:pPr>
        <w:pStyle w:val="Heading3"/>
        <w:spacing w:lineRule="auto" w:line="360" w:after="160"/>
      </w:pPr>
      <w:r>
        <w:rPr>
          <w:rFonts w:ascii="바탕" w:hAnsi="바탕" w:eastAsia="바탕"/>
          <w:b/>
          <w:sz w:val="22"/>
        </w:rPr>
        <w:t>가.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pStyle w:val="Heading3"/>
        <w:spacing w:lineRule="auto" w:line="360" w:after="160"/>
      </w:pPr>
      <w:r>
        <w:rPr>
          <w:rFonts w:ascii="바탕" w:hAnsi="바탕" w:eastAsia="바탕"/>
          <w:b/>
          <w:sz w:val="22"/>
        </w:rPr>
        <w:t>나.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pStyle w:val="Heading3"/>
        <w:spacing w:lineRule="auto" w:line="360" w:after="160"/>
      </w:pPr>
      <w:r>
        <w:rPr>
          <w:rFonts w:ascii="바탕" w:hAnsi="바탕" w:eastAsia="바탕"/>
          <w:b/>
          <w:sz w:val="22"/>
        </w:rPr>
        <w:t>다.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pStyle w:val="Heading2"/>
        <w:spacing w:lineRule="auto" w:line="360" w:after="160"/>
      </w:pPr>
      <w:r>
        <w:rPr>
          <w:rFonts w:ascii="바탕" w:hAnsi="바탕" w:eastAsia="바탕"/>
          <w:b/>
          <w:sz w:val="24"/>
        </w:rPr>
        <w:t>2. 지식 그래프 및 온톨로지의 RAG 통합</w:t>
      </w:r>
    </w:p>
    <w:p>
      <w:pPr>
        <w:pStyle w:val="Heading3"/>
        <w:spacing w:lineRule="auto" w:line="360" w:after="160"/>
      </w:pPr>
      <w:r>
        <w:rPr>
          <w:rFonts w:ascii="바탕" w:hAnsi="바탕" w:eastAsia="바탕"/>
          <w:b/>
          <w:sz w:val="22"/>
        </w:rPr>
        <w:t>가.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pStyle w:val="Heading3"/>
        <w:spacing w:lineRule="auto" w:line="360" w:after="160"/>
      </w:pPr>
      <w:r>
        <w:rPr>
          <w:rFonts w:ascii="바탕" w:hAnsi="바탕" w:eastAsia="바탕"/>
          <w:b/>
          <w:sz w:val="22"/>
        </w:rPr>
        <w:t>나.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pStyle w:val="Heading2"/>
        <w:spacing w:lineRule="auto" w:line="360" w:after="160"/>
      </w:pPr>
      <w:r>
        <w:rPr>
          <w:rFonts w:ascii="바탕" w:hAnsi="바탕" w:eastAsia="바탕"/>
          <w:b/>
          <w:sz w:val="24"/>
        </w:rPr>
        <w:t>3. 검색·가중치 결정의 강화학습 기반 최적화</w:t>
      </w:r>
    </w:p>
    <w:p>
      <w:pPr>
        <w:pStyle w:val="Heading3"/>
        <w:spacing w:lineRule="auto" w:line="360" w:after="160"/>
      </w:pPr>
      <w:r>
        <w:rPr>
          <w:rFonts w:ascii="바탕" w:hAnsi="바탕" w:eastAsia="바탕"/>
          <w:b/>
          <w:sz w:val="22"/>
        </w:rPr>
        <w:t>가.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pStyle w:val="Heading3"/>
        <w:spacing w:lineRule="auto" w:line="360" w:after="160"/>
      </w:pPr>
      <w:r>
        <w:rPr>
          <w:rFonts w:ascii="바탕" w:hAnsi="바탕" w:eastAsia="바탕"/>
          <w:b/>
          <w:sz w:val="22"/>
        </w:rPr>
        <w:t>나.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pStyle w:val="Heading3"/>
        <w:spacing w:lineRule="auto" w:line="360" w:after="160"/>
      </w:pPr>
      <w:r>
        <w:rPr>
          <w:rFonts w:ascii="바탕" w:hAnsi="바탕" w:eastAsia="바탕"/>
          <w:b/>
          <w:sz w:val="22"/>
        </w:rPr>
        <w:t>다.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pStyle w:val="Heading2"/>
        <w:spacing w:lineRule="auto" w:line="360" w:after="160"/>
      </w:pPr>
      <w:r>
        <w:rPr>
          <w:rFonts w:ascii="바탕" w:hAnsi="바탕" w:eastAsia="바탕"/>
          <w:b/>
          <w:sz w:val="24"/>
        </w:rPr>
        <w:t>4. 한국어 QA 평가 및 JKSCI 2025 기준선</w:t>
      </w:r>
    </w:p>
    <w:p>
      <w:pPr>
        <w:pStyle w:val="Heading3"/>
        <w:spacing w:lineRule="auto" w:line="360" w:after="160"/>
      </w:pPr>
      <w:r>
        <w:rPr>
          <w:rFonts w:ascii="바탕" w:hAnsi="바탕" w:eastAsia="바탕"/>
          <w:b/>
          <w:sz w:val="22"/>
        </w:rPr>
        <w:t>가.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pStyle w:val="Heading3"/>
        <w:spacing w:lineRule="auto" w:line="360" w:after="160"/>
      </w:pPr>
      <w:r>
        <w:rPr>
          <w:rFonts w:ascii="바탕" w:hAnsi="바탕" w:eastAsia="바탕"/>
          <w:b/>
          <w:sz w:val="22"/>
        </w:rPr>
        <w:t>나.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재평가는 두 단계로 이루어진다. (i) Sentence 프롬프트 (선행과 동일 출력 형식) 에서 R-DWA F1&lt;sub&gt;strict&lt;/sub&gt; 는 0.137, F1&lt;sub&gt;substring&lt;/sub&gt; 은 0.448 로 측정되며, 선행 수치의 Faithfulness 0.89 는 본 논문 측정 0.835 와 94% 일치 하여 LLM 생성 품질은 재현됨을 확인하였다. (ii) 출력 형식만 List 프롬프트 (콤마 구분 nominal list) 로 정렬하면 평가 인프라 변경 없이 R-DWA F1&lt;sub&gt;strict&lt;/sub&gt; 가 0.529, EM 이 0.387 로 회복되어 선행 보고에 더 가까워진다. 이를 본 논문의 corrected baseline 으로 삼는다. F1&lt;sub&gt;strict&lt;/sub&gt; 의 격차는 형식 정렬 단계와 평가기 strict/loose 정의 차이에 기인하며 (Ch.6 §3.3 상세), 본 논문은 sentence/list 두 단계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0.529 | 0.562 ± 0.007 (+6.2%)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66-점 이산 격자 Oracle (0.554) 을 초과 함을 실증(§3.2). 연속 정책이 이산 argmax 상한 바깥의 공간을 활용한다는 해석이다.</w:t>
      </w:r>
    </w:p>
    <w:p>
      <w:pPr>
        <w:pStyle w:val="Heading2"/>
        <w:spacing w:lineRule="auto" w:line="360" w:after="160"/>
      </w:pPr>
      <w:r>
        <w:rPr>
          <w:rFonts w:ascii="바탕" w:hAnsi="바탕" w:eastAsia="바탕"/>
          <w:b/>
          <w:sz w:val="24"/>
        </w:rPr>
        <w:t>5.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 (corrected baseline) 에서 L-DWA는 R-DWA 대비 F1&lt;sub&gt;strict&lt;/sub&gt; +6.2% (0.529 → 0.562 ± 0.007), Conditional F1&lt;sub&gt;substring&lt;/sub&gt; +28.6% (0.148 → 0.190) 를 달성하며, 66-점 이산 격자 Oracle (per-query argmax) 상한을 초과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pStyle w:val="Heading2"/>
        <w:spacing w:lineRule="auto" w:line="360" w:after="160"/>
      </w:pPr>
      <w:r>
        <w:rPr>
          <w:rFonts w:ascii="바탕" w:hAnsi="바탕" w:eastAsia="바탕"/>
          <w:b/>
          <w:sz w:val="24"/>
        </w:rPr>
        <w:t>6.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pStyle w:val="Heading3"/>
        <w:spacing w:lineRule="auto" w:line="360" w:after="160"/>
      </w:pPr>
      <w:r>
        <w:rPr>
          <w:rFonts w:ascii="바탕" w:hAnsi="바탕" w:eastAsia="바탕"/>
          <w:b/>
          <w:sz w:val="22"/>
        </w:rPr>
        <w:t>가. 네 편의 대표 연구</w:t>
      </w:r>
    </w:p>
    <w:p>
      <w:pPr>
        <w:spacing w:lineRule="auto" w:line="480" w:after="0"/>
      </w:pPr>
      <w:r>
        <w:rPr>
          <w:rFonts w:ascii="바탕" w:hAnsi="바탕" w:eastAsia="바탕"/>
          <w:b w:val="0"/>
          <w:sz w:val="21"/>
        </w:rPr>
        <w:t>Self-RAG (Asai et al., 2024) 는 생성 중간에 retrieve/continue/support 같은 reflection token 을 삽입하도록 지도 학습을 수행한다. 즉 "언제 검색할지" 와 "검색 결과를 쓸지" 를 생성 모델이 직접 판단하게 만든 셈이다. CRAG (Yan et al., 2024) 는 이 문제를 분리하여, 검색 품질을 이진 분류 (correct/incorrect) 하는 별도 모델을 지도 학습으로 만든다. Adaptive-RAG (Jeong et al., 2024) 는 한 걸음 더 나아가 질의 복잡도에 따라 "검색 안 함 / 1-hop / multi-hop" 중 하나를 선택하는 라우팅 분류기를 학습한다. Self-Reward (Yuan et al., 2024) 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pStyle w:val="Heading3"/>
        <w:spacing w:lineRule="auto" w:line="360" w:after="160"/>
      </w:pPr>
      <w:r>
        <w:rPr>
          <w:rFonts w:ascii="바탕" w:hAnsi="바탕" w:eastAsia="바탕"/>
          <w:b/>
          <w:sz w:val="22"/>
        </w:rPr>
        <w:t>나.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pStyle w:val="Heading3"/>
        <w:spacing w:lineRule="auto" w:line="360" w:after="160"/>
      </w:pPr>
      <w:r>
        <w:rPr>
          <w:rFonts w:ascii="바탕" w:hAnsi="바탕" w:eastAsia="바탕"/>
          <w:b/>
          <w:sz w:val="22"/>
        </w:rPr>
        <w:t>다.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(Ch.5 §4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 (Pineau et al., 2021; Colas et al., 2018), RAG 결합 연구에서도 단일 실행이나 두세 번 평균에 그치는 경우가 적지 않다. 본 논문은 고정된 세 시드 {42, 123, 999} 에서 각각 전체 학습을 반복하고, 주 지표의 표준편차를 명시한다 (F1&lt;sub&gt;strict&lt;/sub&gt; std = 0.007). 이는 RL-RAG 결과의 재현성 문제를 외부에서 검증할 수 있는 최소 조건이라 본다.</w:t>
      </w:r>
    </w:p>
    <w:p>
      <w:pPr>
        <w:pStyle w:val="Heading3"/>
        <w:spacing w:lineRule="auto" w:line="360" w:after="160"/>
      </w:pPr>
      <w:r>
        <w:rPr>
          <w:rFonts w:ascii="바탕" w:hAnsi="바탕" w:eastAsia="바탕"/>
          <w:b/>
          <w:sz w:val="22"/>
        </w:rPr>
        <w:t>라.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Ch.7 §2 에서 다시 언급한다.</w:t>
      </w:r>
    </w:p>
    <w:p>
      <w:pPr>
        <w:pStyle w:val="Heading3"/>
        <w:spacing w:lineRule="auto" w:line="360" w:after="160"/>
      </w:pPr>
      <w:r>
        <w:rPr>
          <w:rFonts w:ascii="바탕" w:hAnsi="바탕" w:eastAsia="바탕"/>
          <w:b/>
          <w:sz w:val="22"/>
        </w:rPr>
        <w:t>마.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pStyle w:val="Heading1"/>
        <w:spacing w:lineRule="auto" w:line="360" w:after="160"/>
        <w:jc w:val="center"/>
      </w:pPr>
      <w:r>
        <w:rPr>
          <w:rFonts w:ascii="바탕" w:hAnsi="바탕" w:eastAsia="바탕"/>
          <w:b/>
          <w:sz w:val="28"/>
        </w:rPr>
        <w:t>Ⅲ. Triple-Hybrid RAG 아키텍처</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pStyle w:val="Heading2"/>
        <w:spacing w:lineRule="auto" w:line="360" w:after="160"/>
      </w:pPr>
      <w:r>
        <w:rPr>
          <w:rFonts w:ascii="바탕" w:hAnsi="바탕" w:eastAsia="바탕"/>
          <w:b/>
          <w:sz w:val="24"/>
        </w:rPr>
        <w:t>1.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pStyle w:val="Heading2"/>
        <w:spacing w:lineRule="auto" w:line="360" w:after="160"/>
      </w:pPr>
      <w:r>
        <w:rPr>
          <w:rFonts w:ascii="바탕" w:hAnsi="바탕" w:eastAsia="바탕"/>
          <w:b/>
          <w:sz w:val="24"/>
        </w:rPr>
        <w:t>2. 세 지식 소스</w:t>
      </w:r>
    </w:p>
    <w:p>
      <w:pPr>
        <w:pStyle w:val="Heading3"/>
        <w:spacing w:lineRule="auto" w:line="360" w:after="160"/>
      </w:pPr>
      <w:r>
        <w:rPr>
          <w:rFonts w:ascii="바탕" w:hAnsi="바탕" w:eastAsia="바탕"/>
          <w:b/>
          <w:sz w:val="22"/>
        </w:rPr>
        <w:t>가. Vector 소스 (α)</w:t>
      </w:r>
    </w:p>
    <w:p>
      <w:pPr>
        <w:spacing w:lineRule="auto" w:line="480" w:after="0"/>
      </w:pPr>
      <w:r>
        <w:rPr>
          <w:rFonts w:ascii="바탕" w:hAnsi="바탕" w:eastAsia="바탕"/>
          <w:b w:val="0"/>
          <w:sz w:val="21"/>
        </w:rPr>
        <w:t>Vector 소스는 문서 코퍼스를 OpenAI text-embedding-3-small (1,536차원) 로 임베딩하여 FAISS IndexFlatIP 에 적재하는 단순한 구조이다. 질의 임베딩과의 코사인 유사도를 기준으로 top-k (k=3) 문서를 반환한다. 구현은 src/rag/vector_store.py 에 있으며, Embedder 는 주입 의존성으로 분리되어 단위 테스트에서 결정적 해시 임베더로 교체할 수 있게 해 두었다.</w:t>
      </w:r>
    </w:p>
    <w:p>
      <w:pPr>
        <w:spacing w:lineRule="auto" w:line="480" w:after="0"/>
      </w:pPr>
      <w:r>
        <w:rPr>
          <w:rFonts w:ascii="바탕" w:hAnsi="바탕" w:eastAsia="바탕"/>
          <w:b w:val="0"/>
          <w:sz w:val="21"/>
        </w:rPr>
        <w:t>합성 대학 코퍼스에 대한 임베딩 대상은 총 2,542 문서로, 577명의 교수 프로필, 60개 학과 설명, 1,505개 과목 설명, 400개 프로젝트 설명으로 구성된다. 전체 임베딩은 단일 pass 로 약 10초, 비용은 $0.005 수준이다.</w:t>
      </w:r>
    </w:p>
    <w:p>
      <w:pPr>
        <w:spacing w:lineRule="auto" w:line="480" w:after="0"/>
      </w:pPr>
      <w:r>
        <w:rPr>
          <w:rFonts w:ascii="바탕" w:hAnsi="바탕" w:eastAsia="바탕"/>
          <w:b w:val="0"/>
          <w:sz w:val="21"/>
        </w:rPr>
        <w:t>Vector 는 의미 유사도가 중요한 단순 질의에서 안정적인 recall 을 제공하지만, 구조적 관계가 명시되지 않은 비정형 텍스트만 다루기 때문에 multi-hop 나 조건부 질의에서 한계가 드러난다.</w:t>
      </w:r>
    </w:p>
    <w:p>
      <w:pPr>
        <w:pStyle w:val="Heading3"/>
        <w:spacing w:lineRule="auto" w:line="360" w:after="160"/>
      </w:pPr>
      <w:r>
        <w:rPr>
          <w:rFonts w:ascii="바탕" w:hAnsi="바탕" w:eastAsia="바탕"/>
          <w:b/>
          <w:sz w:val="22"/>
        </w:rPr>
        <w:t>나. Graph 소스 (β)</w:t>
      </w:r>
    </w:p>
    <w:p>
      <w:pPr>
        <w:spacing w:lineRule="auto" w:line="480" w:after="0"/>
      </w:pPr>
      <w:r>
        <w:rPr>
          <w:rFonts w:ascii="바탕" w:hAnsi="바탕" w:eastAsia="바탕"/>
          <w:b w:val="0"/>
          <w:sz w:val="21"/>
        </w:rPr>
        <w:t>Graph 소스는 학과·교수·과목·프로젝트의 네 종류 엔티티와 그 사이의 소속·담당·협력·참여·개설 관계를 NetworkX MultiDiGraph 로 구축한다. 질의에서 키워드를 뽑아 시드 노드를 찾고, 최대 3-hop BFS 로 관련 경로를 수집한다. 각 경로는 "A --[관계]--&gt; B" 형태 문자열로 직렬화되어 컨텍스트에 포함된다.</w:t>
      </w:r>
    </w:p>
    <w:p>
      <w:pPr>
        <w:spacing w:lineRule="auto" w:line="480" w:after="0"/>
      </w:pPr>
      <w:r>
        <w:rPr>
          <w:rFonts w:ascii="바탕" w:hAnsi="바탕" w:eastAsia="바탕"/>
          <w:b w:val="0"/>
          <w:sz w:val="21"/>
        </w:rPr>
        <w:t>합성 대학 그래프의 규모는 2,542개 노드 (60 학과 + 577 교수 + 1,505 과목 + 400 프로젝트) 와 3,000 이상의 엣지 (소속 577 + 개설 ≤ 1,505 + 담당 ≥ 1,700 + 협력 1,158 + 참여 ≥ 800) 이다. 구현은 src/rag/graph_store.py 에 있다.</w:t>
      </w:r>
    </w:p>
    <w:p>
      <w:pPr>
        <w:spacing w:lineRule="auto" w:line="480" w:after="0"/>
      </w:pPr>
      <w:r>
        <w:rPr>
          <w:rFonts w:ascii="바탕" w:hAnsi="바탕" w:eastAsia="바탕"/>
          <w:b w:val="0"/>
          <w:sz w:val="21"/>
        </w:rPr>
        <w:t>그래프 기반 검색은 관계를 명시적으로 드러내므로 multi-hop 추론에 적합하다. 다만 시드 매칭이 부정확한 경우 — 예컨대 질의의 자연어 표현이 노드 명칭과 일치하지 않을 때 — fallback 로직에 의존하게 된다.</w:t>
      </w:r>
    </w:p>
    <w:p>
      <w:pPr>
        <w:pStyle w:val="Heading3"/>
        <w:spacing w:lineRule="auto" w:line="360" w:after="160"/>
      </w:pPr>
      <w:r>
        <w:rPr>
          <w:rFonts w:ascii="바탕" w:hAnsi="바탕" w:eastAsia="바탕"/>
          <w:b/>
          <w:sz w:val="22"/>
        </w:rPr>
        <w:t>다. Ontology 소스 (γ)</w:t>
      </w:r>
    </w:p>
    <w:p>
      <w:pPr>
        <w:spacing w:lineRule="auto" w:line="480" w:after="0"/>
      </w:pPr>
      <w:r>
        <w:rPr>
          <w:rFonts w:ascii="바탕" w:hAnsi="바탕" w:eastAsia="바탕"/>
          <w:b w:val="0"/>
          <w:sz w:val="21"/>
        </w:rPr>
        <w:t>Ontology 소스는 OWL 2 클래스 계층 (Person → Professor → FullProfessor / AdjunctProfessor) 과 속성 (hasAge, belongsTo, teaches), 그리고 수치 제약 (age ≤ threshold 형태) 을 Owlready2 로 표현한다. HermiT 추론기가 가용하면 결정 가능한 추론을 수행하며, 그렇지 않으면 규칙 기반 fallback 이 동일한 결과를 만들어 준다. 구현은 src/rag/ontology_store.py 이고, check_constraint(entity, phrase) 가 "40세 이하", "30세 이상" 같은 한국어 수치 제약을 정규식으로 파싱하여 대상 엔티티의 age 속성과 비교한다.</w:t>
      </w:r>
    </w:p>
    <w:p>
      <w:pPr>
        <w:spacing w:lineRule="auto" w:line="480" w:after="0"/>
      </w:pPr>
      <w:r>
        <w:rPr>
          <w:rFonts w:ascii="바탕" w:hAnsi="바탕" w:eastAsia="바탕"/>
          <w:b w:val="0"/>
          <w:sz w:val="21"/>
        </w:rPr>
        <w:t>Ontology 는 조건부 질의의 수치·논리 제약을 엄격히 처리할 수 있다는 강점이 있다. 반면 초기 구축 비용이 크고, 개체 집합이 변하면 수동이든 자동이든 재구축이 필요하다는 점이 Vector 및 Graph 와 비교되는 약점이다.</w:t>
      </w:r>
    </w:p>
    <w:p>
      <w:pPr>
        <w:pStyle w:val="Heading2"/>
        <w:spacing w:lineRule="auto" w:line="360" w:after="160"/>
      </w:pPr>
      <w:r>
        <w:rPr>
          <w:rFonts w:ascii="바탕" w:hAnsi="바탕" w:eastAsia="바탕"/>
          <w:b/>
          <w:sz w:val="24"/>
        </w:rPr>
        <w:t>3. QueryAnalyzer</w:t>
      </w:r>
    </w:p>
    <w:p>
      <w:pPr>
        <w:spacing w:lineRule="auto" w:line="480" w:after="0"/>
      </w:pPr>
      <w:r>
        <w:rPr>
          <w:rFonts w:ascii="바탕" w:hAnsi="바탕" w:eastAsia="바탕"/>
          <w:b w:val="0"/>
          <w:sz w:val="21"/>
        </w:rPr>
        <w:t>QueryAnalyzer 는 자연어 질의에서 개체·관계·제약을 정규식과 키워드 사전으로 추출하여, density 신호 (s&lt;sub&gt;e&lt;/sub&gt;, s&lt;sub&gt;r&lt;/sub&gt;, s&lt;sub&gt;c&lt;/sub&gt;) ∈ [0, 1]³ 와 질의 유형 (simple / multi_hop / conditional) 을 반환한다. 출력 타입은 다음과 같다.</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분류는 단순한 규칙에 기반한다. 제약이 하나라도 있으면 conditional, 엔티티가 2개 이상이거나 관계가 2개 이상 등장하면 multi_hop, 그 외는 simple 이다. 이 분류는 R-DWA 의 기본 가중치 선택에 사용되며, L-DWA 에서는 18차원 state 의 한 구성 요소로 들어간다.</w:t>
      </w:r>
    </w:p>
    <w:p>
      <w:pPr>
        <w:spacing w:lineRule="auto" w:line="360" w:after="0"/>
        <w:ind w:left="567"/>
      </w:pPr>
      <w:r>
        <w:rPr>
          <w:rFonts w:ascii="바탕" w:hAnsi="바탕" w:eastAsia="바탕"/>
          <w:b w:val="0"/>
          <w:sz w:val="20"/>
        </w:rPr>
        <w:t xml:space="preserve">▸ [박스 3-1] 밀도 신호 (Density Signals)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pStyle w:val="Heading2"/>
        <w:spacing w:lineRule="auto" w:line="360" w:after="160"/>
      </w:pPr>
      <w:r>
        <w:rPr>
          <w:rFonts w:ascii="바탕" w:hAnsi="바탕" w:eastAsia="바탕"/>
          <w:b/>
          <w:sz w:val="24"/>
        </w:rPr>
        <w:t>4.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xml:space="preserve">▸ [박스 3-2] 가중치 단순체 Δ³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pStyle w:val="Heading2"/>
        <w:spacing w:lineRule="auto" w:line="360" w:after="160"/>
      </w:pPr>
      <w:r>
        <w:rPr>
          <w:rFonts w:ascii="바탕" w:hAnsi="바탕" w:eastAsia="바탕"/>
          <w:b/>
          <w:sz w:val="24"/>
        </w:rPr>
        <w:t>5.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pStyle w:val="Heading2"/>
        <w:spacing w:lineRule="auto" w:line="360" w:after="160"/>
      </w:pPr>
      <w:r>
        <w:rPr>
          <w:rFonts w:ascii="바탕" w:hAnsi="바탕" w:eastAsia="바탕"/>
          <w:b/>
          <w:sz w:val="24"/>
        </w:rPr>
        <w:t>6.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pStyle w:val="Heading2"/>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pStyle w:val="Heading1"/>
        <w:spacing w:lineRule="auto" w:line="360" w:after="160"/>
        <w:jc w:val="center"/>
      </w:pPr>
      <w:r>
        <w:rPr>
          <w:rFonts w:ascii="바탕" w:hAnsi="바탕" w:eastAsia="바탕"/>
          <w:b/>
          <w:sz w:val="28"/>
        </w:rPr>
        <w:t>Ⅳ.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pStyle w:val="Heading2"/>
        <w:spacing w:lineRule="auto" w:line="360" w:after="160"/>
      </w:pPr>
      <w:r>
        <w:rPr>
          <w:rFonts w:ascii="바탕" w:hAnsi="바탕" w:eastAsia="바탕"/>
          <w:b/>
          <w:sz w:val="24"/>
        </w:rPr>
        <w:t>1.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xml:space="preserve">▸ [박스 4-1] R-DWA 규칙 한 번에 돌려보기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pStyle w:val="Heading2"/>
        <w:spacing w:lineRule="auto" w:line="360" w:after="160"/>
      </w:pPr>
      <w:r>
        <w:rPr>
          <w:rFonts w:ascii="바탕" w:hAnsi="바탕" w:eastAsia="바탕"/>
          <w:b/>
          <w:sz w:val="24"/>
        </w:rPr>
        <w:t>2. R-DWA의 강점</w:t>
      </w:r>
    </w:p>
    <w:p>
      <w:pPr>
        <w:spacing w:lineRule="auto" w:line="480" w:after="0"/>
      </w:pPr>
      <w:r>
        <w:rPr>
          <w:rFonts w:ascii="바탕" w:hAnsi="바탕" w:eastAsia="바탕"/>
          <w:b w:val="0"/>
          <w:sz w:val="21"/>
        </w:rPr>
        <w:t>R-DWA 의 장점은 단순함에서 나온다. 학습 데이터나 API 호출이 필요하지 않아 별도 사전 작업 없이 바로 배포할 수 있고, 모든 가중치 변화가 한국어 정규식의 매칭 결과로 추적되기 때문에 해석이 쉽다. 또한 고정된 규칙 집합이므로 질의 분포가 달라지더라도 과적합으로 인한 성능 저하 가능성은 없다.</w:t>
      </w:r>
    </w:p>
    <w:p>
      <w:pPr>
        <w:pStyle w:val="Heading2"/>
        <w:spacing w:lineRule="auto" w:line="360" w:after="160"/>
      </w:pPr>
      <w:r>
        <w:rPr>
          <w:rFonts w:ascii="바탕" w:hAnsi="바탕" w:eastAsia="바탕"/>
          <w:b/>
          <w:sz w:val="24"/>
        </w:rPr>
        <w:t>3. R-DWA의 구조적 한계</w:t>
      </w:r>
    </w:p>
    <w:p>
      <w:pPr>
        <w:spacing w:lineRule="auto" w:line="480" w:after="0"/>
      </w:pPr>
      <w:r>
        <w:rPr>
          <w:rFonts w:ascii="바탕" w:hAnsi="바탕" w:eastAsia="바탕"/>
          <w:b w:val="0"/>
          <w:sz w:val="21"/>
        </w:rPr>
        <w:t>R-DWA 를 베이스라인으로 두고 실험을 진행하는 과정에서 네 가지 한계가 드러났다. 그림 4-1 은 그 핵심을 시각적으로 요약한다. R-DWA 의 세 기본 가중치 점 (simple, multi_hop, conditional) 은 삼각형의 세 변을 따라 대각선 형태로 배치되어 있지만, Oracle 의 평균 가중치는 Ontology 꼭짓점 근처에 강하게 몰려 있다. R-DWA 의 실제 질의별 가중치 평균도 Graph 쪽으로 치우쳐 있어, Oracle 분포와 거리가 있다. L-DWA 의 평균은 두 분포 사이에 위치하며 Oracle 에 더 가까운 쪽으로 이동한 양상을 보인다.</w:t>
      </w:r>
    </w:p>
    <w:p>
      <w:pPr>
        <w:jc w:val="center"/>
      </w:pPr>
      <w:r>
        <w:drawing>
          <wp:inline xmlns:a="http://schemas.openxmlformats.org/drawingml/2006/main" xmlns:pic="http://schemas.openxmlformats.org/drawingml/2006/picture">
            <wp:extent cx="5040000" cy="4682445"/>
            <wp:docPr id="2" name="Picture 2"/>
            <wp:cNvGraphicFramePr>
              <a:graphicFrameLocks noChangeAspect="1"/>
            </wp:cNvGraphicFramePr>
            <a:graphic>
              <a:graphicData uri="http://schemas.openxmlformats.org/drawingml/2006/picture">
                <pic:pic>
                  <pic:nvPicPr>
                    <pic:cNvPr id="0" name="fig4_1_rdwa_vs_oracle.png"/>
                    <pic:cNvPicPr/>
                  </pic:nvPicPr>
                  <pic:blipFill>
                    <a:blip r:embed="rId10"/>
                    <a:stretch>
                      <a:fillRect/>
                    </a:stretch>
                  </pic:blipFill>
                  <pic:spPr>
                    <a:xfrm>
                      <a:off x="0" y="0"/>
                      <a:ext cx="5040000" cy="4682445"/>
                    </a:xfrm>
                    <a:prstGeom prst="rect"/>
                  </pic:spPr>
                </pic:pic>
              </a:graphicData>
            </a:graphic>
          </wp:inline>
        </w:drawing>
      </w:r>
    </w:p>
    <w:p>
      <w:pPr>
        <w:spacing w:lineRule="auto" w:line="276" w:after="120"/>
        <w:jc w:val="center"/>
      </w:pPr>
      <w:r>
        <w:rPr>
          <w:rFonts w:ascii="바탕" w:hAnsi="바탕" w:eastAsia="바탕"/>
          <w:b/>
          <w:sz w:val="19"/>
        </w:rPr>
        <w:t>그림 4-1. R-DWA 기본 가중치 점 (simple/multi_hop/conditional) 이 Oracle 평균 (Ontology 지배적) 과 어떻게 어긋나는지를 Δ³ 삼각형 위에 표시</w:t>
      </w:r>
    </w:p>
    <w:p>
      <w:pPr>
        <w:spacing w:lineRule="auto" w:line="480" w:after="0"/>
      </w:pPr>
      <w:r>
        <w:rPr>
          <w:rFonts w:ascii="바탕" w:hAnsi="바탕" w:eastAsia="바탕"/>
          <w:b w:val="0"/>
          <w:sz w:val="21"/>
        </w:rPr>
        <w:t>첫째, 기본 가중치 테이블이 도메인에 편향되어 있다. Table 4-1 의 대각선 배치 (simple→α, multi_hop→β, conditional→γ) 는 설계 당시 저자의 직관에 기반한 사전 분포였으나, Ch.6 §3.3 의 Oracle 분석에 따르면 실제 보상 지형은 이와 다르다. 합성 대학 벤치마크에서 per-query argmax Oracle 의 평균 가중치는 (α=0.11, β=0.16, γ=0.73) 으로 대부분의 질의에서 Ontology 가 지배적이다. Simple 질의를 Vector 쪽으로 끌어당기는 R-DWA 의 규칙은 실제 최적점과 상당히 어긋나 있다.</w:t>
      </w:r>
    </w:p>
    <w:p>
      <w:pPr>
        <w:spacing w:lineRule="auto" w:line="480" w:after="0"/>
      </w:pPr>
      <w:r>
        <w:rPr>
          <w:rFonts w:ascii="바탕" w:hAnsi="바탕" w:eastAsia="바탕"/>
          <w:b w:val="0"/>
          <w:sz w:val="21"/>
        </w:rPr>
        <w:t>둘째, 연속 조정 단계의 λ 가 단일 값이다. grid search 로 고른 λ=0.3 은 전체 질의 분포에 대한 평균적 최적값일 뿐, 개별 질의의 길이·엔티티 수·부정어 포함 여부 같은 특성은 반영하지 못한다.</w:t>
      </w:r>
    </w:p>
    <w:p>
      <w:pPr>
        <w:spacing w:lineRule="auto" w:line="480" w:after="0"/>
      </w:pPr>
      <w:r>
        <w:rPr>
          <w:rFonts w:ascii="바탕" w:hAnsi="바탕" w:eastAsia="바탕"/>
          <w:b w:val="0"/>
          <w:sz w:val="21"/>
        </w:rPr>
        <w:t>셋째, 조건부 질의 내부의 미세 구분이 없다. 같은 conditional 로 분류되는 질의라도 수치 제약 ("40세 이하"), 열거형 제약 ("A 또는 B"), 배타 조건 ("~를 제외한") 은 각각 다른 처리를 요구하지만, R-DWA 는 이들을 모두 같은 (0.2, 0.2, 0.6) 로 취급한다. Ch.6 §4 에서 conditional 에 대해 L-DWA 가 상대적으로 큰 개선을 보인다는 결과는 이 미세 구분 부재가 양적으로도 의미 있다는 것을 시사한다.</w:t>
      </w:r>
    </w:p>
    <w:p>
      <w:pPr>
        <w:spacing w:lineRule="auto" w:line="480" w:after="0"/>
      </w:pPr>
      <w:r>
        <w:rPr>
          <w:rFonts w:ascii="바탕" w:hAnsi="바탕" w:eastAsia="바탕"/>
          <w:b w:val="0"/>
          <w:sz w:val="21"/>
        </w:rPr>
        <w:t>넷째, 도메인 간 이전에 취약하다. Table 4-1 과 λ 는 합성 대학 도메인에서 튜닝된 값이기 때문에, 재튜닝 없이 다른 도메인으로 옮기면 성능이 곧장 떨어진다. HotpotQA 에서 R-DWA 의 F1&lt;sub&gt;strict&lt;/sub&gt; 는 0.097 로, 같은 조건의 Vector-only 0.102 에 미치지 못한다 (Ch.6 §7.2).</w:t>
      </w:r>
    </w:p>
    <w:p>
      <w:pPr>
        <w:pStyle w:val="Heading2"/>
        <w:spacing w:lineRule="auto" w:line="360" w:after="160"/>
      </w:pPr>
      <w:r>
        <w:rPr>
          <w:rFonts w:ascii="바탕" w:hAnsi="바탕" w:eastAsia="바탕"/>
          <w:b/>
          <w:sz w:val="24"/>
        </w:rPr>
        <w:t>4.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pStyle w:val="Heading2"/>
        <w:spacing w:lineRule="auto" w:line="360" w:after="160"/>
      </w:pPr>
      <w:r>
        <w:rPr>
          <w:rFonts w:ascii="바탕" w:hAnsi="바탕" w:eastAsia="바탕"/>
          <w:b/>
          <w:sz w:val="24"/>
        </w:rPr>
        <w:t>5. R-DWA의 본 논문 재측정 결과</w:t>
      </w:r>
    </w:p>
    <w:p>
      <w:pPr>
        <w:spacing w:lineRule="auto" w:line="480" w:after="0"/>
      </w:pPr>
      <w:r>
        <w:rPr>
          <w:rFonts w:ascii="바탕" w:hAnsi="바탕" w:eastAsia="바탕"/>
          <w:b w:val="0"/>
          <w:sz w:val="21"/>
        </w:rPr>
        <w:t>본 절은 R-DWA 를 corrected baseline (List 프롬프트, 버그 수정 평가기, 5,000 QA) 조건에서 재측정한 결과를 제시한다. Sentence 프롬프트 측정과의 대비는 Ch.6 §3.3 에서 별도 처리한다.</w:t>
      </w:r>
    </w:p>
    <w:p>
      <w:pPr>
        <w:pStyle w:val="Heading3"/>
        <w:spacing w:lineRule="auto" w:line="360" w:after="160"/>
      </w:pPr>
      <w:r>
        <w:rPr>
          <w:rFonts w:ascii="바탕" w:hAnsi="바탕" w:eastAsia="바탕"/>
          <w:b/>
          <w:sz w:val="22"/>
        </w:rPr>
        <w:t>가. 전체 (5,000 QA, list prompt corrected)</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0.529 ± 0.429</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0.482 ± 0.442</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0.469 ± 0.438</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0.387 ± 0.487</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0.544 ± 0.486</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0.71 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 이 Ontology 지향적인 것과 대조된다 (Oracle 평균 (α=0.04, β=0.07, γ=0.89), 반복 가중치 (0.0, 0.0, 1.0) 가 1,834 회로 최빈).</w:t>
      </w:r>
    </w:p>
    <w:p>
      <w:pPr>
        <w:pStyle w:val="Heading3"/>
        <w:spacing w:lineRule="auto" w:line="360" w:after="160"/>
      </w:pPr>
      <w:r>
        <w:rPr>
          <w:rFonts w:ascii="바탕" w:hAnsi="바탕" w:eastAsia="바탕"/>
          <w:b/>
          <w:sz w:val="22"/>
        </w:rPr>
        <w:t>나. 질의 유형별 (list prompt corrected)</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Type</w:t>
            </w:r>
          </w:p>
        </w:tc>
        <w:tc>
          <w:tcPr>
            <w:tcW w:type="dxa" w:w="1398"/>
          </w:tcPr>
          <w:p>
            <w:pPr>
              <w:spacing w:lineRule="auto" w:line="276" w:after="0"/>
            </w:pPr>
            <w:r/>
            <w:r>
              <w:rPr>
                <w:rFonts w:ascii="바탕" w:hAnsi="바탕" w:eastAsia="바탕"/>
                <w:b/>
                <w:sz w:val="19"/>
              </w:rPr>
              <w:t>n</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simple</w:t>
            </w:r>
          </w:p>
        </w:tc>
        <w:tc>
          <w:tcPr>
            <w:tcW w:type="dxa" w:w="1398"/>
          </w:tcPr>
          <w:p>
            <w:pPr>
              <w:spacing w:lineRule="auto" w:line="276" w:after="0"/>
            </w:pPr>
            <w:r/>
            <w:r>
              <w:rPr>
                <w:rFonts w:ascii="바탕" w:hAnsi="바탕" w:eastAsia="바탕"/>
                <w:b w:val="0"/>
                <w:sz w:val="19"/>
              </w:rPr>
              <w:t>2,000</w:t>
            </w:r>
          </w:p>
        </w:tc>
        <w:tc>
          <w:tcPr>
            <w:tcW w:type="dxa" w:w="1398"/>
          </w:tcPr>
          <w:p>
            <w:pPr>
              <w:spacing w:lineRule="auto" w:line="276" w:after="0"/>
            </w:pPr>
            <w:r/>
            <w:r>
              <w:rPr>
                <w:rFonts w:ascii="바탕" w:hAnsi="바탕" w:eastAsia="바탕"/>
                <w:b w:val="0"/>
                <w:sz w:val="19"/>
              </w:rPr>
              <w:t>0.874</w:t>
            </w:r>
          </w:p>
        </w:tc>
        <w:tc>
          <w:tcPr>
            <w:tcW w:type="dxa" w:w="1398"/>
          </w:tcPr>
          <w:p>
            <w:pPr>
              <w:spacing w:lineRule="auto" w:line="276" w:after="0"/>
            </w:pPr>
            <w:r/>
            <w:r>
              <w:rPr>
                <w:rFonts w:ascii="바탕" w:hAnsi="바탕" w:eastAsia="바탕"/>
                <w:b w:val="0"/>
                <w:sz w:val="19"/>
              </w:rPr>
              <w:t>0.857</w:t>
            </w:r>
          </w:p>
        </w:tc>
        <w:tc>
          <w:tcPr>
            <w:tcW w:type="dxa" w:w="1398"/>
          </w:tcPr>
          <w:p>
            <w:pPr>
              <w:spacing w:lineRule="auto" w:line="276" w:after="0"/>
            </w:pPr>
            <w:r/>
            <w:r>
              <w:rPr>
                <w:rFonts w:ascii="바탕" w:hAnsi="바탕" w:eastAsia="바탕"/>
                <w:b w:val="0"/>
                <w:sz w:val="19"/>
              </w:rPr>
              <w:t>0.811</w:t>
            </w:r>
          </w:p>
        </w:tc>
        <w:tc>
          <w:tcPr>
            <w:tcW w:type="dxa" w:w="1398"/>
          </w:tcPr>
          <w:p>
            <w:pPr>
              <w:spacing w:lineRule="auto" w:line="276" w:after="0"/>
            </w:pPr>
            <w:r/>
            <w:r>
              <w:rPr>
                <w:rFonts w:ascii="바탕" w:hAnsi="바탕" w:eastAsia="바탕"/>
                <w:b w:val="0"/>
                <w:sz w:val="19"/>
              </w:rPr>
              <w:t>0.817</w:t>
            </w:r>
          </w:p>
        </w:tc>
      </w:tr>
      <w:tr>
        <w:tc>
          <w:tcPr>
            <w:tcW w:type="dxa" w:w="1398"/>
          </w:tcPr>
          <w:p>
            <w:pPr>
              <w:spacing w:lineRule="auto" w:line="276" w:after="0"/>
            </w:pPr>
            <w:r/>
            <w:r>
              <w:rPr>
                <w:rFonts w:ascii="바탕" w:hAnsi="바탕" w:eastAsia="바탕"/>
                <w:b w:val="0"/>
                <w:sz w:val="19"/>
              </w:rPr>
              <w:t>multi_hop</w:t>
            </w:r>
          </w:p>
        </w:tc>
        <w:tc>
          <w:tcPr>
            <w:tcW w:type="dxa" w:w="1398"/>
          </w:tcPr>
          <w:p>
            <w:pPr>
              <w:spacing w:lineRule="auto" w:line="276" w:after="0"/>
            </w:pPr>
            <w:r/>
            <w:r>
              <w:rPr>
                <w:rFonts w:ascii="바탕" w:hAnsi="바탕" w:eastAsia="바탕"/>
                <w:b w:val="0"/>
                <w:sz w:val="19"/>
              </w:rPr>
              <w:t>1,750</w:t>
            </w:r>
          </w:p>
        </w:tc>
        <w:tc>
          <w:tcPr>
            <w:tcW w:type="dxa" w:w="1398"/>
          </w:tcPr>
          <w:p>
            <w:pPr>
              <w:spacing w:lineRule="auto" w:line="276" w:after="0"/>
            </w:pPr>
            <w:r/>
            <w:r>
              <w:rPr>
                <w:rFonts w:ascii="바탕" w:hAnsi="바탕" w:eastAsia="바탕"/>
                <w:b w:val="0"/>
                <w:sz w:val="19"/>
              </w:rPr>
              <w:t>0.354</w:t>
            </w:r>
          </w:p>
        </w:tc>
        <w:tc>
          <w:tcPr>
            <w:tcW w:type="dxa" w:w="1398"/>
          </w:tcPr>
          <w:p>
            <w:pPr>
              <w:spacing w:lineRule="auto" w:line="276" w:after="0"/>
            </w:pPr>
            <w:r/>
            <w:r>
              <w:rPr>
                <w:rFonts w:ascii="바탕" w:hAnsi="바탕" w:eastAsia="바탕"/>
                <w:b w:val="0"/>
                <w:sz w:val="19"/>
              </w:rPr>
              <w:t>0.293</w:t>
            </w:r>
          </w:p>
        </w:tc>
        <w:tc>
          <w:tcPr>
            <w:tcW w:type="dxa" w:w="1398"/>
          </w:tcPr>
          <w:p>
            <w:pPr>
              <w:spacing w:lineRule="auto" w:line="276" w:after="0"/>
            </w:pPr>
            <w:r/>
            <w:r>
              <w:rPr>
                <w:rFonts w:ascii="바탕" w:hAnsi="바탕" w:eastAsia="바탕"/>
                <w:b w:val="0"/>
                <w:sz w:val="19"/>
              </w:rPr>
              <w:t>0.178</w:t>
            </w:r>
          </w:p>
        </w:tc>
        <w:tc>
          <w:tcPr>
            <w:tcW w:type="dxa" w:w="1398"/>
          </w:tcPr>
          <w:p>
            <w:pPr>
              <w:spacing w:lineRule="auto" w:line="276" w:after="0"/>
            </w:pPr>
            <w:r/>
            <w:r>
              <w:rPr>
                <w:rFonts w:ascii="바탕" w:hAnsi="바탕" w:eastAsia="바탕"/>
                <w:b w:val="0"/>
                <w:sz w:val="19"/>
              </w:rPr>
              <w:t>0.226</w:t>
            </w:r>
          </w:p>
        </w:tc>
      </w:tr>
      <w:tr>
        <w:tc>
          <w:tcPr>
            <w:tcW w:type="dxa" w:w="1398"/>
          </w:tcPr>
          <w:p>
            <w:pPr>
              <w:spacing w:lineRule="auto" w:line="276" w:after="0"/>
            </w:pPr>
            <w:r/>
            <w:r>
              <w:rPr>
                <w:rFonts w:ascii="바탕" w:hAnsi="바탕" w:eastAsia="바탕"/>
                <w:b w:val="0"/>
                <w:sz w:val="19"/>
              </w:rPr>
              <w:t>conditional</w:t>
            </w:r>
          </w:p>
        </w:tc>
        <w:tc>
          <w:tcPr>
            <w:tcW w:type="dxa" w:w="1398"/>
          </w:tcPr>
          <w:p>
            <w:pPr>
              <w:spacing w:lineRule="auto" w:line="276" w:after="0"/>
            </w:pPr>
            <w:r/>
            <w:r>
              <w:rPr>
                <w:rFonts w:ascii="바탕" w:hAnsi="바탕" w:eastAsia="바탕"/>
                <w:b w:val="0"/>
                <w:sz w:val="19"/>
              </w:rPr>
              <w:t>1,250</w:t>
            </w:r>
          </w:p>
        </w:tc>
        <w:tc>
          <w:tcPr>
            <w:tcW w:type="dxa" w:w="1398"/>
          </w:tcPr>
          <w:p>
            <w:pPr>
              <w:spacing w:lineRule="auto" w:line="276" w:after="0"/>
            </w:pPr>
            <w:r/>
            <w:r>
              <w:rPr>
                <w:rFonts w:ascii="바탕" w:hAnsi="바탕" w:eastAsia="바탕"/>
                <w:b w:val="0"/>
                <w:sz w:val="19"/>
              </w:rPr>
              <w:t>0.223</w:t>
            </w:r>
          </w:p>
        </w:tc>
        <w:tc>
          <w:tcPr>
            <w:tcW w:type="dxa" w:w="1398"/>
          </w:tcPr>
          <w:p>
            <w:pPr>
              <w:spacing w:lineRule="auto" w:line="276" w:after="0"/>
            </w:pPr>
            <w:r/>
            <w:r>
              <w:rPr>
                <w:rFonts w:ascii="바탕" w:hAnsi="바탕" w:eastAsia="바탕"/>
                <w:b w:val="0"/>
                <w:sz w:val="19"/>
              </w:rPr>
              <w:t>0.148</w:t>
            </w:r>
          </w:p>
        </w:tc>
        <w:tc>
          <w:tcPr>
            <w:tcW w:type="dxa" w:w="1398"/>
          </w:tcPr>
          <w:p>
            <w:pPr>
              <w:spacing w:lineRule="auto" w:line="276" w:after="0"/>
            </w:pPr>
            <w:r/>
            <w:r>
              <w:rPr>
                <w:rFonts w:ascii="바탕" w:hAnsi="바탕" w:eastAsia="바탕"/>
                <w:b w:val="0"/>
                <w:sz w:val="19"/>
              </w:rPr>
              <w:t>0.001</w:t>
            </w:r>
          </w:p>
        </w:tc>
        <w:tc>
          <w:tcPr>
            <w:tcW w:type="dxa" w:w="1398"/>
          </w:tcPr>
          <w:p>
            <w:pPr>
              <w:spacing w:lineRule="auto" w:line="276" w:after="0"/>
            </w:pPr>
            <w:r/>
            <w:r>
              <w:rPr>
                <w:rFonts w:ascii="바탕" w:hAnsi="바탕" w:eastAsia="바탕"/>
                <w:b w:val="0"/>
                <w:sz w:val="19"/>
              </w:rPr>
              <w:t>0.552</w:t>
            </w:r>
          </w:p>
        </w:tc>
      </w:tr>
    </w:tbl>
    <w:p>
      <w:pPr>
        <w:spacing w:lineRule="auto" w:line="480" w:after="0"/>
      </w:pPr>
      <w:r>
        <w:rPr>
          <w:rFonts w:ascii="바탕" w:hAnsi="바탕" w:eastAsia="바탕"/>
          <w:b w:val="0"/>
          <w:sz w:val="21"/>
        </w:rPr>
        <w:t>Simple 은 R-DWA 만으로도 0.87 수준의 강한 성능을 보이지만 (선행 보고된 F1 0.86 을 사실상 재현), multi_hop 과 conditional 에서 F1&lt;sub&gt;strict&lt;/sub&gt; 가 각각 0.354, 0.223 로 떨어진다. 이는 (i) 이 유형의 gold 답이 구조적으로 복수 항목 리스트여서 LLM 자연어 출력과의 토큰 매칭에 추가적인 형식 정렬이 필요하고, (ii) R-DWA 의 고정 가중치가 세부 특성에 둔감하기 때문이다. Ch.5 L-DWA 가 특히 conditional 에서 F1&lt;sub&gt;strict&lt;/sub&gt; 0.223 → 0.285 (3-seed 평균, +28.0%) 로 큰 개선을 보이는 점이 본 논문의 핵심 실증이다 (Ch.6 §4).</w:t>
      </w:r>
    </w:p>
    <w:p>
      <w:pPr>
        <w:pStyle w:val="Heading3"/>
        <w:spacing w:lineRule="auto" w:line="360" w:after="160"/>
      </w:pPr>
      <w:r>
        <w:rPr>
          <w:rFonts w:ascii="바탕" w:hAnsi="바탕" w:eastAsia="바탕"/>
          <w:b/>
          <w:sz w:val="22"/>
        </w:rPr>
        <w:t>다. 선행 JKSCI와의 대비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JKSCI 보고</w:t>
            </w:r>
          </w:p>
        </w:tc>
        <w:tc>
          <w:tcPr>
            <w:tcW w:type="dxa" w:w="1678"/>
          </w:tcPr>
          <w:p>
            <w:pPr>
              <w:spacing w:lineRule="auto" w:line="276" w:after="0"/>
            </w:pPr>
            <w:r/>
            <w:r>
              <w:rPr>
                <w:rFonts w:ascii="바탕" w:hAnsi="바탕" w:eastAsia="바탕"/>
                <w:b/>
                <w:sz w:val="19"/>
              </w:rPr>
              <w:t>Sentence 프롬프트</w:t>
            </w:r>
          </w:p>
        </w:tc>
        <w:tc>
          <w:tcPr>
            <w:tcW w:type="dxa" w:w="1678"/>
          </w:tcPr>
          <w:p>
            <w:pPr>
              <w:spacing w:lineRule="auto" w:line="276" w:after="0"/>
            </w:pPr>
            <w:r/>
            <w:r>
              <w:rPr>
                <w:rFonts w:ascii="바탕" w:hAnsi="바탕" w:eastAsia="바탕"/>
                <w:b/>
                <w:sz w:val="19"/>
              </w:rPr>
              <w:t>List 프롬프트 (corrected)</w:t>
            </w:r>
          </w:p>
        </w:tc>
        <w:tc>
          <w:tcPr>
            <w:tcW w:type="dxa" w:w="1678"/>
          </w:tcPr>
          <w:p>
            <w:pPr>
              <w:spacing w:lineRule="auto" w:line="276" w:after="0"/>
            </w:pPr>
            <w:r/>
            <w:r>
              <w:rPr>
                <w:rFonts w:ascii="바탕" w:hAnsi="바탕" w:eastAsia="바탕"/>
                <w:b/>
                <w:sz w:val="19"/>
              </w:rPr>
              <w:t>재현율 (List 기준)</w:t>
            </w:r>
          </w:p>
        </w:tc>
      </w:tr>
      <w:tr>
        <w:tc>
          <w:tcPr>
            <w:tcW w:type="dxa" w:w="1678"/>
          </w:tcPr>
          <w:p>
            <w:pPr>
              <w:spacing w:lineRule="auto" w:line="276" w:after="0"/>
            </w:pPr>
            <w:r/>
            <w:r>
              <w:rPr>
                <w:rFonts w:ascii="바탕" w:hAnsi="바탕" w:eastAsia="바탕"/>
                <w:b w:val="0"/>
                <w:sz w:val="19"/>
              </w:rPr>
              <w:t>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0.448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61%, substring 56%</w:t>
            </w:r>
          </w:p>
        </w:tc>
      </w:tr>
      <w:tr>
        <w:tc>
          <w:tcPr>
            <w:tcW w:type="dxa" w:w="1678"/>
          </w:tcPr>
          <w:p>
            <w:pPr>
              <w:spacing w:lineRule="auto" w:line="276" w:after="0"/>
            </w:pPr>
            <w:r/>
            <w:r>
              <w:rPr>
                <w:rFonts w:ascii="바탕" w:hAnsi="바탕" w:eastAsia="바탕"/>
                <w:b w:val="0"/>
                <w:sz w:val="19"/>
              </w:rPr>
              <w:t>Simple-only F1</w:t>
            </w:r>
          </w:p>
        </w:tc>
        <w:tc>
          <w:tcPr>
            <w:tcW w:type="dxa" w:w="1678"/>
          </w:tcPr>
          <w:p>
            <w:pPr>
              <w:spacing w:lineRule="auto" w:line="276" w:after="0"/>
            </w:pPr>
            <w:r/>
            <w:r>
              <w:rPr>
                <w:rFonts w:ascii="바탕" w:hAnsi="바탕" w:eastAsia="바탕"/>
                <w:b w:val="0"/>
                <w:sz w:val="19"/>
              </w:rPr>
              <w:t>(분리 보고 없음)</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사실상 재현</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 (구조적)</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50%</w:t>
            </w:r>
          </w:p>
        </w:tc>
      </w:tr>
      <w:tr>
        <w:tc>
          <w:tcPr>
            <w:tcW w:type="dxa" w:w="1678"/>
          </w:tcPr>
          <w:p>
            <w:pPr>
              <w:spacing w:lineRule="auto" w:line="276" w:after="0"/>
            </w:pPr>
            <w:r/>
            <w:r>
              <w:rPr>
                <w:rFonts w:ascii="바탕" w:hAnsi="바탕" w:eastAsia="바탕"/>
                <w:b w:val="0"/>
                <w:sz w:val="19"/>
              </w:rPr>
              <w:t>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w:t>
            </w:r>
          </w:p>
        </w:tc>
      </w:tr>
    </w:tbl>
    <w:p>
      <w:pPr>
        <w:spacing w:lineRule="auto" w:line="480" w:after="0"/>
      </w:pPr>
      <w:r>
        <w:rPr>
          <w:rFonts w:ascii="바탕" w:hAnsi="바탕" w:eastAsia="바탕"/>
          <w:b w:val="0"/>
          <w:sz w:val="21"/>
        </w:rPr>
        <w:t>Sentence 프롬프트 만으로는 F1 격차가 컸으나 평가 인프라 변경 없이 출력 형식만 List 로 정렬하면 F1&lt;sub&gt;strict&lt;/sub&gt; 가 0.529 로 회복되고, 특히 Simple 유형만 보면 0.874 로 JKSCI 의 0.86 을 사실상 재현 한다. 이는 선행 보고가 Simple-subset 혹은 short-list gold 기반이었음을 시사하며, 본 논문은 두 단계 (sentence / list) 를 병기 하여 선행 연구와의 연속성·재현성과 엄격 재평가를 동시에 제공한다 (Ch.6 §3.3 상세, 부록 C 평가기 변경 기록).</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pStyle w:val="Heading1"/>
        <w:spacing w:lineRule="auto" w:line="360" w:after="160"/>
        <w:jc w:val="center"/>
      </w:pPr>
      <w:r>
        <w:rPr>
          <w:rFonts w:ascii="바탕" w:hAnsi="바탕" w:eastAsia="바탕"/>
          <w:b/>
          <w:sz w:val="28"/>
        </w:rPr>
        <w:t>Ⅴ.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pStyle w:val="Heading2"/>
        <w:spacing w:lineRule="auto" w:line="360" w:after="160"/>
      </w:pPr>
      <w:r>
        <w:rPr>
          <w:rFonts w:ascii="바탕" w:hAnsi="바탕" w:eastAsia="바탕"/>
          <w:b/>
          <w:sz w:val="24"/>
        </w:rPr>
        <w:t>1. MDP 공식화</w:t>
      </w:r>
    </w:p>
    <w:p>
      <w:pPr>
        <w:spacing w:lineRule="auto" w:line="480" w:after="0"/>
      </w:pPr>
      <w:r>
        <w:rPr>
          <w:rFonts w:ascii="바탕" w:hAnsi="바탕" w:eastAsia="바탕"/>
          <w:b w:val="0"/>
          <w:sz w:val="21"/>
        </w:rPr>
        <w:t>Triple-Hybrid RAG 가중치 결정을 다음 1-step contextual bandit MDP로 정식화한다.</w:t>
      </w:r>
    </w:p>
    <w:p>
      <w:pPr>
        <w:pStyle w:val="Heading3"/>
        <w:spacing w:lineRule="auto" w:line="360" w:after="160"/>
      </w:pPr>
      <w:r>
        <w:rPr>
          <w:rFonts w:ascii="바탕" w:hAnsi="바탕" w:eastAsia="바탕"/>
          <w:b/>
          <w:sz w:val="22"/>
        </w:rPr>
        <w:t>가.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pStyle w:val="Heading3"/>
        <w:spacing w:lineRule="auto" w:line="360" w:after="160"/>
      </w:pPr>
      <w:r>
        <w:rPr>
          <w:rFonts w:ascii="바탕" w:hAnsi="바탕" w:eastAsia="바탕"/>
          <w:b/>
          <w:sz w:val="22"/>
        </w:rPr>
        <w:t>나.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pStyle w:val="Heading3"/>
        <w:spacing w:lineRule="auto" w:line="360" w:after="160"/>
      </w:pPr>
      <w:r>
        <w:rPr>
          <w:rFonts w:ascii="바탕" w:hAnsi="바탕" w:eastAsia="바탕"/>
          <w:b/>
          <w:sz w:val="22"/>
        </w:rPr>
        <w:t>다.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한 가지 실측 관찰을 덧붙여 둘 필요가 있다. 이 벤치마크의 gold 답이 콤마 구분 리스트 형식이라 EM 이 구조적으로 0 에 가까워, 실효 보상은 사실상 다음과 같이 동작한다.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F1 과 Faithfulness 가 학습 신호의 주 원천이 된다. 이 구조가 학습에 미치는 영향은 Ch.6 §2.3 에서 구체적으로 다룬다.</w:t>
      </w:r>
    </w:p>
    <w:p>
      <w:pPr>
        <w:pStyle w:val="Heading3"/>
        <w:spacing w:lineRule="auto" w:line="360" w:after="160"/>
      </w:pPr>
      <w:r>
        <w:rPr>
          <w:rFonts w:ascii="바탕" w:hAnsi="바탕" w:eastAsia="바탕"/>
          <w:b/>
          <w:sz w:val="22"/>
        </w:rPr>
        <w:t>라. 단일-단계 축약</w:t>
      </w:r>
    </w:p>
    <w:p>
      <w:pPr>
        <w:spacing w:lineRule="auto" w:line="480" w:after="0"/>
      </w:pPr>
      <w:r>
        <w:rPr>
          <w:rFonts w:ascii="바탕" w:hAnsi="바탕" w:eastAsia="바탕"/>
          <w:b w:val="0"/>
          <w:sz w:val="21"/>
        </w:rPr>
        <w:t>에피소드가 (state, action, reward) 한 쌍으로 종료되므로 GAE 의 시간 할인은 실효적으로 1-step Bellman (A = R − V, returns = R) 이 된다. 구현에서는 GAE 기계장치를 그대로 유지해 두었는데, 이는 이후 multi-turn 대화로의 확장 가능성을 닫지 않기 위함이다.</w:t>
      </w:r>
    </w:p>
    <w:p>
      <w:pPr>
        <w:spacing w:lineRule="auto" w:line="360" w:after="0"/>
        <w:ind w:left="567"/>
      </w:pPr>
      <w:r>
        <w:rPr>
          <w:rFonts w:ascii="바탕" w:hAnsi="바탕" w:eastAsia="바탕"/>
          <w:b w:val="0"/>
          <w:sz w:val="20"/>
        </w:rPr>
        <w:t xml:space="preserve">▸ [박스 5-1] MDP 튜플 (S, A, P, R, γ&lt;sub&gt;d&lt;/sub&gt;)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pStyle w:val="Heading2"/>
        <w:spacing w:lineRule="auto" w:line="360" w:after="160"/>
      </w:pPr>
      <w:r>
        <w:rPr>
          <w:rFonts w:ascii="바탕" w:hAnsi="바탕" w:eastAsia="바탕"/>
          <w:b/>
          <w:sz w:val="24"/>
        </w:rPr>
        <w:t>2. Actor-Critic 네트워크</w:t>
      </w:r>
    </w:p>
    <w:p>
      <w:pPr>
        <w:pStyle w:val="Heading3"/>
        <w:spacing w:lineRule="auto" w:line="360" w:after="160"/>
      </w:pPr>
      <w:r>
        <w:rPr>
          <w:rFonts w:ascii="바탕" w:hAnsi="바탕" w:eastAsia="바탕"/>
          <w:b/>
          <w:sz w:val="22"/>
        </w:rPr>
        <w:t>가.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3" name="Picture 3"/>
            <wp:cNvGraphicFramePr>
              <a:graphicFrameLocks noChangeAspect="1"/>
            </wp:cNvGraphicFramePr>
            <a:graphic>
              <a:graphicData uri="http://schemas.openxmlformats.org/drawingml/2006/picture">
                <pic:pic>
                  <pic:nvPicPr>
                    <pic:cNvPr id="0" name="fig5_1_actor_critic.png"/>
                    <pic:cNvPicPr/>
                  </pic:nvPicPr>
                  <pic:blipFill>
                    <a:blip r:embed="rId11"/>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pStyle w:val="Heading3"/>
        <w:spacing w:lineRule="auto" w:line="360" w:after="160"/>
      </w:pPr>
      <w:r>
        <w:rPr>
          <w:rFonts w:ascii="바탕" w:hAnsi="바탕" w:eastAsia="바탕"/>
          <w:b/>
          <w:sz w:val="22"/>
        </w:rPr>
        <w:t>나. 파라미터 수</w:t>
      </w:r>
    </w:p>
    <w:p>
      <w:pPr>
        <w:spacing w:lineRule="auto" w:line="480" w:after="0"/>
      </w:pPr>
      <w:r>
        <w:rPr>
          <w:rFonts w:ascii="바탕" w:hAnsi="바탕" w:eastAsia="바탕"/>
          <w:b w:val="0"/>
          <w:sz w:val="21"/>
        </w:rPr>
        <w:t>백본을 Actor · Critic 이 공유하게 설계하여 모델 규모를 5,636 파라미터로 유지하였다. 층별 내역은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pStyle w:val="Heading3"/>
        <w:spacing w:lineRule="auto" w:line="360" w:after="160"/>
      </w:pPr>
      <w:r>
        <w:rPr>
          <w:rFonts w:ascii="바탕" w:hAnsi="바탕" w:eastAsia="바탕"/>
          <w:b/>
          <w:sz w:val="22"/>
        </w:rPr>
        <w:t>다.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pStyle w:val="Heading2"/>
        <w:spacing w:lineRule="auto" w:line="360" w:after="160"/>
      </w:pPr>
      <w:r>
        <w:rPr>
          <w:rFonts w:ascii="바탕" w:hAnsi="바탕" w:eastAsia="바탕"/>
          <w:b/>
          <w:sz w:val="24"/>
        </w:rPr>
        <w:t>3. PPO 학습 알고리즘</w:t>
      </w:r>
    </w:p>
    <w:p>
      <w:pPr>
        <w:pStyle w:val="Heading3"/>
        <w:spacing w:lineRule="auto" w:line="360" w:after="160"/>
      </w:pPr>
      <w:r>
        <w:rPr>
          <w:rFonts w:ascii="바탕" w:hAnsi="바탕" w:eastAsia="바탕"/>
          <w:b/>
          <w:sz w:val="22"/>
        </w:rPr>
        <w:t>가.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xml:space="preserve">▸ [박스 5-2] PPO Clip 목적 함수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pStyle w:val="Heading3"/>
        <w:spacing w:lineRule="auto" w:line="360" w:after="160"/>
      </w:pPr>
      <w:r>
        <w:rPr>
          <w:rFonts w:ascii="바탕" w:hAnsi="바탕" w:eastAsia="바탕"/>
          <w:b/>
          <w:sz w:val="22"/>
        </w:rPr>
        <w:t>나.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pStyle w:val="Heading3"/>
        <w:spacing w:lineRule="auto" w:line="360" w:after="160"/>
      </w:pPr>
      <w:r>
        <w:rPr>
          <w:rFonts w:ascii="바탕" w:hAnsi="바탕" w:eastAsia="바탕"/>
          <w:b/>
          <w:sz w:val="22"/>
        </w:rPr>
        <w:t>다.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pStyle w:val="Heading3"/>
        <w:spacing w:lineRule="auto" w:line="360" w:after="160"/>
      </w:pPr>
      <w:r>
        <w:rPr>
          <w:rFonts w:ascii="바탕" w:hAnsi="바탕" w:eastAsia="바탕"/>
          <w:b/>
          <w:sz w:val="22"/>
        </w:rPr>
        <w:t>라.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pStyle w:val="Heading3"/>
        <w:spacing w:lineRule="auto" w:line="360" w:after="160"/>
      </w:pPr>
      <w:r>
        <w:rPr>
          <w:rFonts w:ascii="바탕" w:hAnsi="바탕" w:eastAsia="바탕"/>
          <w:b/>
          <w:sz w:val="22"/>
        </w:rPr>
        <w:t>마.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5_2_ppo_convergence.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pStyle w:val="Heading3"/>
        <w:spacing w:lineRule="auto" w:line="360" w:after="160"/>
      </w:pPr>
      <w:r>
        <w:rPr>
          <w:rFonts w:ascii="바탕" w:hAnsi="바탕" w:eastAsia="바탕"/>
          <w:b/>
          <w:sz w:val="22"/>
        </w:rPr>
        <w:t>바.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pStyle w:val="Heading3"/>
        <w:spacing w:lineRule="auto" w:line="360" w:after="160"/>
      </w:pPr>
      <w:r>
        <w:rPr>
          <w:rFonts w:ascii="바탕" w:hAnsi="바탕" w:eastAsia="바탕"/>
          <w:b/>
          <w:sz w:val="22"/>
        </w:rPr>
        <w:t>사.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(Ch.6 §3.2 전수 평가 기준).</w:t>
      </w:r>
    </w:p>
    <w:p>
      <w:pPr>
        <w:pStyle w:val="Heading2"/>
        <w:spacing w:lineRule="auto" w:line="360" w:after="160"/>
      </w:pPr>
      <w:r>
        <w:rPr>
          <w:rFonts w:ascii="바탕" w:hAnsi="바탕" w:eastAsia="바탕"/>
          <w:b/>
          <w:sz w:val="24"/>
        </w:rPr>
        <w:t>4. 오프라인 보상 캐시</w:t>
      </w:r>
    </w:p>
    <w:p>
      <w:pPr>
        <w:pStyle w:val="Heading3"/>
        <w:spacing w:lineRule="auto" w:line="360" w:after="160"/>
      </w:pPr>
      <w:r>
        <w:rPr>
          <w:rFonts w:ascii="바탕" w:hAnsi="바탕" w:eastAsia="바탕"/>
          <w:b/>
          <w:sz w:val="22"/>
        </w:rPr>
        <w:t>가. 비용 장벽</w:t>
      </w:r>
    </w:p>
    <w:p>
      <w:pPr>
        <w:spacing w:lineRule="auto" w:line="480" w:after="0"/>
      </w:pPr>
      <w:r>
        <w:rPr>
          <w:rFonts w:ascii="바탕" w:hAnsi="바탕" w:eastAsia="바탕"/>
          <w:b w:val="0"/>
          <w:sz w:val="21"/>
        </w:rPr>
        <w:t>on-policy 학습에서는 3 seed × 10,000 episode × 32 rollout 으로 총 960,000 회의 보상 호출이 필요하다. gpt-4o-mini 의 호출당 평균 비용 $0.0003 을 기준으로 하면 약 $288, 직렬 기준 시간은 50시간 이상이다. 학위 과정의 개인 예산으로는 부담스러운 규모이며, 하이퍼파라미터 탐색이나 ablation 까지 고려하면 그 배수가 더 커진다.</w:t>
      </w:r>
    </w:p>
    <w:p>
      <w:pPr>
        <w:pStyle w:val="Heading3"/>
        <w:spacing w:lineRule="auto" w:line="360" w:after="160"/>
      </w:pPr>
      <w:r>
        <w:rPr>
          <w:rFonts w:ascii="바탕" w:hAnsi="바탕" w:eastAsia="바탕"/>
          <w:b/>
          <w:sz w:val="22"/>
        </w:rPr>
        <w:t>나. 캐시 설계</w:t>
      </w:r>
    </w:p>
    <w:p>
      <w:pPr>
        <w:spacing w:lineRule="auto" w:line="480" w:after="0"/>
      </w:pPr>
      <w:r>
        <w:rPr>
          <w:rFonts w:ascii="바탕" w:hAnsi="바탕" w:eastAsia="바탕"/>
          <w:b w:val="0"/>
          <w:sz w:val="21"/>
        </w:rPr>
        <w:t>이 비용을 없애는 가장 직접적인 방법은 보상을 사전에 계산해 두고 학습 중에는 조회만 하는 것이다. 가중치 공간을 Δ=0.1 간격으로 이산화하면 α + β + γ = 1 을 만족하는 정수 삼각형의 격자점이 C(12, 2) = 66 개가 나온다. 이를 5,000 질의와 곱하면 330,000 엔트리가 되며, 이를 SQLite 에 저장한다.</w:t>
      </w:r>
    </w:p>
    <w:p>
      <w:pPr>
        <w:spacing w:lineRule="auto" w:line="480" w:after="0"/>
      </w:pPr>
      <w:r>
        <w:rPr>
          <w:rFonts w:ascii="바탕" w:hAnsi="바탕" w:eastAsia="바탕"/>
          <w:b w:val="0"/>
          <w:sz w:val="21"/>
        </w:rPr>
        <w:t>스키마는 단순하다.</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학습 중에는 Dirichlet 으로 샘플된 연속 가중치를 가장 가까운 격자점으로 스냅한 뒤 O(1) 로 조회한다. 스냅에 의한 오차는 최대 Δ/2 = 0.05 이다.</w:t>
      </w:r>
    </w:p>
    <w:p>
      <w:pPr>
        <w:pStyle w:val="Heading3"/>
        <w:spacing w:lineRule="auto" w:line="360" w:after="160"/>
      </w:pPr>
      <w:r>
        <w:rPr>
          <w:rFonts w:ascii="바탕" w:hAnsi="바탕" w:eastAsia="바탕"/>
          <w:b/>
          <w:sz w:val="22"/>
        </w:rPr>
        <w:t>다. 구축 비용과 시간</w:t>
      </w:r>
    </w:p>
    <w:p>
      <w:pPr>
        <w:spacing w:lineRule="auto" w:line="480" w:after="0"/>
      </w:pPr>
      <w:r>
        <w:rPr>
          <w:rFonts w:ascii="바탕" w:hAnsi="바탕" w:eastAsia="바탕"/>
          <w:b w:val="0"/>
          <w:sz w:val="21"/>
        </w:rPr>
        <w:t>합성 대학 캐시 (330K 엔트리) 는 10 워커 병렬로 14시간이 걸렸고, OpenAI 청구액 기준 $33 이 사용되었다. 최종 파일 크기는 16.8 MB 이다.</w:t>
      </w:r>
    </w:p>
    <w:p>
      <w:pPr>
        <w:pStyle w:val="Heading3"/>
        <w:spacing w:lineRule="auto" w:line="360" w:after="160"/>
      </w:pPr>
      <w:r>
        <w:rPr>
          <w:rFonts w:ascii="바탕" w:hAnsi="바탕" w:eastAsia="바탕"/>
          <w:b/>
          <w:sz w:val="22"/>
        </w:rPr>
        <w:t>라. 비용 절감 효과</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3 seeds 총 시간</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50시간 이상</w:t>
            </w:r>
          </w:p>
        </w:tc>
      </w:tr>
      <w:tr>
        <w:tc>
          <w:tcPr>
            <w:tcW w:type="dxa" w:w="2797"/>
          </w:tcPr>
          <w:p>
            <w:pPr>
              <w:spacing w:lineRule="auto" w:line="276" w:after="0"/>
            </w:pPr>
            <w:r/>
            <w:r>
              <w:rPr>
                <w:rFonts w:ascii="바탕" w:hAnsi="바탕" w:eastAsia="바탕"/>
                <w:b w:val="0"/>
                <w:sz w:val="19"/>
              </w:rPr>
              <w:t>Offline cache (본 연구)</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bl>
    <w:p>
      <w:pPr>
        <w:spacing w:lineRule="auto" w:line="480" w:after="0"/>
      </w:pPr>
      <w:r>
        <w:rPr>
          <w:rFonts w:ascii="바탕" w:hAnsi="바탕" w:eastAsia="바탕"/>
          <w:b w:val="0"/>
          <w:sz w:val="21"/>
        </w:rPr>
        <w:t>이 캐시는 한 번 구축되면 seed 추가 학습, ablation, 정책 비교에 모두 재사용되기 때문에 seed 수가 늘어날수록 절감 효과가 커진다. N 개의 seed 를 학습해도 캐시 구축 비용은 여전히 $33 이고, on-policy 의 경우 $96·N 까지 선형으로 증가한다.</w:t>
      </w:r>
    </w:p>
    <w:p>
      <w:pPr>
        <w:pStyle w:val="Heading3"/>
        <w:spacing w:lineRule="auto" w:line="360" w:after="160"/>
      </w:pPr>
      <w:r>
        <w:rPr>
          <w:rFonts w:ascii="바탕" w:hAnsi="바탕" w:eastAsia="바탕"/>
          <w:b/>
          <w:sz w:val="22"/>
        </w:rPr>
        <w:t>마. 구현</w:t>
      </w:r>
    </w:p>
    <w:p>
      <w:pPr>
        <w:spacing w:lineRule="auto" w:line="480" w:after="0"/>
      </w:pPr>
      <w:r>
        <w:rPr>
          <w:rFonts w:ascii="바탕" w:hAnsi="바탕" w:eastAsia="바탕"/>
          <w:b w:val="0"/>
          <w:sz w:val="21"/>
        </w:rPr>
        <w:t>캐시 구현은 src/utils/offline_cache.py::OfflineCache 에 있다. ThreadPoolExecutor 로 10개의 워커를 병렬 실행하며, SQLite WAL 모드와 put_many 배치 삽입으로 동시성 안전성을 확보하였다. 합성 대학용 구축 스크립트는 scripts/build_cache.py 이고, HotpotQA 등 교차 도메인용은 scripts/cross_build_cache.py 이다.</w:t>
      </w:r>
    </w:p>
    <w:p>
      <w:pPr>
        <w:pStyle w:val="Heading2"/>
        <w:spacing w:lineRule="auto" w:line="360" w:after="160"/>
      </w:pPr>
      <w:r>
        <w:rPr>
          <w:rFonts w:ascii="바탕" w:hAnsi="바탕" w:eastAsia="바탕"/>
          <w:b/>
          <w:sz w:val="24"/>
        </w:rPr>
        <w:t>5. 학습 시스템 통합</w:t>
      </w:r>
    </w:p>
    <w:p>
      <w:pPr>
        <w:pStyle w:val="Heading3"/>
        <w:spacing w:lineRule="auto" w:line="360" w:after="160"/>
      </w:pPr>
      <w:r>
        <w:rPr>
          <w:rFonts w:ascii="바탕" w:hAnsi="바탕" w:eastAsia="바탕"/>
          <w:b/>
          <w:sz w:val="22"/>
        </w:rPr>
        <w:t>가.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pStyle w:val="Heading3"/>
        <w:spacing w:lineRule="auto" w:line="360" w:after="160"/>
      </w:pPr>
      <w:r>
        <w:rPr>
          <w:rFonts w:ascii="바탕" w:hAnsi="바탕" w:eastAsia="바탕"/>
          <w:b/>
          <w:sz w:val="22"/>
        </w:rPr>
        <w:t>나.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pStyle w:val="Heading3"/>
        <w:spacing w:lineRule="auto" w:line="360" w:after="160"/>
      </w:pPr>
      <w:r>
        <w:rPr>
          <w:rFonts w:ascii="바탕" w:hAnsi="바탕" w:eastAsia="바탕"/>
          <w:b/>
          <w:sz w:val="22"/>
        </w:rPr>
        <w:t>다.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pStyle w:val="Heading1"/>
        <w:spacing w:lineRule="auto" w:line="360" w:after="160"/>
        <w:jc w:val="center"/>
      </w:pPr>
      <w:r>
        <w:rPr>
          <w:rFonts w:ascii="바탕" w:hAnsi="바탕" w:eastAsia="바탕"/>
          <w:b/>
          <w:sz w:val="28"/>
        </w:rPr>
        <w:t>Ⅵ. 실험 및 평가</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pStyle w:val="Heading2"/>
        <w:spacing w:lineRule="auto" w:line="360" w:after="160"/>
      </w:pPr>
      <w:r>
        <w:rPr>
          <w:rFonts w:ascii="바탕" w:hAnsi="바탕" w:eastAsia="바탕"/>
          <w:b/>
          <w:sz w:val="24"/>
        </w:rPr>
        <w:t>1. 실험 환경 및 평가 지표</w:t>
      </w:r>
    </w:p>
    <w:p>
      <w:pPr>
        <w:pStyle w:val="Heading3"/>
        <w:spacing w:lineRule="auto" w:line="360" w:after="160"/>
      </w:pPr>
      <w:r>
        <w:rPr>
          <w:rFonts w:ascii="바탕" w:hAnsi="바탕" w:eastAsia="바탕"/>
          <w:b/>
          <w:sz w:val="22"/>
        </w:rPr>
        <w:t>가.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pStyle w:val="Heading3"/>
        <w:spacing w:lineRule="auto" w:line="360" w:after="160"/>
      </w:pPr>
      <w:r>
        <w:rPr>
          <w:rFonts w:ascii="바탕" w:hAnsi="바탕" w:eastAsia="바탕"/>
          <w:b/>
          <w:sz w:val="22"/>
        </w:rPr>
        <w:t>나.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pStyle w:val="Heading3"/>
        <w:spacing w:lineRule="auto" w:line="360" w:after="160"/>
      </w:pPr>
      <w:r>
        <w:rPr>
          <w:rFonts w:ascii="바탕" w:hAnsi="바탕" w:eastAsia="바탕"/>
          <w:b/>
          <w:sz w:val="22"/>
        </w:rPr>
        <w:t>다. 평가 지표 체계</w:t>
      </w:r>
    </w:p>
    <w:p>
      <w:pPr>
        <w:spacing w:lineRule="auto" w:line="480" w:after="0"/>
      </w:pPr>
      <w:r>
        <w:rPr>
          <w:rFonts w:ascii="바탕" w:hAnsi="바탕" w:eastAsia="바탕"/>
          <w:b w:val="0"/>
          <w:sz w:val="21"/>
        </w:rPr>
        <w:t>한국어 QA 에서 토큰 집합 F1 하나만으로는 정책 간 차이를 충분히 해석하기 어렵다는 점이 실험 초기부터 반복해서 드러났다. 동일한 사실을 담은 응답이어도 문장 형식이나 조사 유무에 따라 점수가 크게 달라지고, 그 변동 폭이 정책 간 차이보다 커지는 경우가 있었다. 그래서 본 논문은 하나의 지표를 고르는 대신 성격이 다른 세 가지 F1 을 함께 보고한다.</w:t>
      </w:r>
    </w:p>
    <w:p>
      <w:pPr>
        <w:spacing w:lineRule="auto" w:line="480" w:after="0"/>
      </w:pPr>
      <w:r>
        <w:rPr>
          <w:rFonts w:ascii="바탕" w:hAnsi="바탕" w:eastAsia="바탕"/>
          <w:b w:val="0"/>
          <w:sz w:val="21"/>
        </w:rPr>
        <w:t>F1&lt;sub&gt;strict&lt;/sub&gt; 는 한국어 조사 제거, 구두점 제거, NFC 정규화를 거친 뒤 토큰 집합으로 F1 을 계산하는 엄격한 주 지표이다. F1&lt;sub&gt;substring&lt;/sub&gt; 은 gold 를 쉼표로 분할한 항목들이 prediction 문자열에 부분문자열로 등장하는지를 본다. 선행 JKSCI 2025 의 loose F1 에 가장 근접하는 해석이기도 하다. F1&lt;sub&gt;char&lt;/sub&gt; 는 문자 3-gram 집합 위의 F1 으로, 토큰 경계가 흔들리거나 조사가 남아 있어도 안정적으로 움직인다. 세 지표가 동시에 같은 방향으로 움직이면 해당 변화는 형식 이슈가 아니라 응답 품질의 변화로 읽을 수 있다는 뜻이 된다.</w:t>
      </w:r>
    </w:p>
    <w:p>
      <w:pPr>
        <w:spacing w:lineRule="auto" w:line="480" w:after="0"/>
      </w:pPr>
      <w:r>
        <w:rPr>
          <w:rFonts w:ascii="바탕" w:hAnsi="바탕" w:eastAsia="바탕"/>
          <w:b w:val="0"/>
          <w:sz w:val="21"/>
        </w:rPr>
        <w:t>EM 은 sentence 프롬프트에서 사실상 0 에 고정된다. Gold 가 "홍성민, 황성민, 전성민" 같은 콤마 구분 명단인 데 비해, 자연어 문장 출력은 "홍성민 교수, 황성민 교수, 전성민 교수가 담당합니다" 식으로 나오기 때문에 토큰 단위 완전 일치가 구조적으로 성립하지 않는다. §3.4 에서 도입한 list 프롬프트는 이 제약을 완화하여 EM 이 0.39 수준까지 회복된다.</w:t>
      </w:r>
    </w:p>
    <w:p>
      <w:pPr>
        <w:spacing w:lineRule="auto" w:line="480" w:after="0"/>
      </w:pPr>
      <w:r>
        <w:rPr>
          <w:rFonts w:ascii="바탕" w:hAnsi="바탕" w:eastAsia="바탕"/>
          <w:b w:val="0"/>
          <w:sz w:val="21"/>
        </w:rPr>
        <w:t>Faithfulness 는 RAGAS 방식을 따르되 답변 형식에 따라 두 분기로 측정한다. 마침표가 포함된 문장형 응답에서는 문장을 분리한 뒤 각 문장의 any-token 지지 여부를 본다. 마침표 없이 쉼표로만 구분된 리스트형 응답에서는 각 항목을 개별 claim 으로 간주하여 컨텍스트 안에 실제로 등장하는지를 확인한다. 리스트 분기는 환각된 항목을 그대로 드러내기 때문에 문장 분기보다 값이 낮게 측정되는데, 이는 품질 저하가 아니라 평가 해상도의 향상으로 해석된다 (§3.5).</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xml:space="preserve">▸ [박스 6-4] Faithfulness (2-branch)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함수는 PPO 학습의 목표 함수이며 Ch.5 식 5-7 과 동일하게 다음과 같이 둔다.</w:t>
      </w:r>
    </w:p>
    <w:p>
      <w:pPr>
        <w:spacing w:lineRule="auto" w:line="276" w:after="0"/>
      </w:pPr>
      <w:r>
        <w:rPr>
          <w:rFonts w:ascii="D2Coding" w:hAnsi="D2Coding" w:eastAsia="D2Coding"/>
          <w:b w:val="0"/>
          <w:sz w:val="18"/>
        </w:rPr>
        <w:t>R = 0.5 · F1_strict + 0.3 · EM + 0.2 · Faithfulness − 0.1 · max(0, latency − 5.0)</w:t>
      </w:r>
    </w:p>
    <w:p>
      <w:pPr>
        <w:pStyle w:val="Heading3"/>
        <w:spacing w:lineRule="auto" w:line="360" w:after="160"/>
      </w:pPr>
      <w:r>
        <w:rPr>
          <w:rFonts w:ascii="바탕" w:hAnsi="바탕" w:eastAsia="바탕"/>
          <w:b/>
          <w:sz w:val="22"/>
        </w:rPr>
        <w:t>라. 평가기 버그 수정 기록</w:t>
      </w:r>
    </w:p>
    <w:p>
      <w:pPr>
        <w:spacing w:lineRule="auto" w:line="480" w:after="0"/>
      </w:pPr>
      <w:r>
        <w:rPr>
          <w:rFonts w:ascii="바탕" w:hAnsi="바탕" w:eastAsia="바탕"/>
          <w:b w:val="0"/>
          <w:sz w:val="21"/>
        </w:rPr>
        <w:t>본 논문을 정리하는 과정에서 기존 f1_score 가 쉼표와 마침표를 토큰에서 분리하지 않는 탓에, gold "홍성민," 와 prediction "홍성민" 이 같은 토큰으로 인식되지 않고 있었음을 발견하였다. src/eval/metrics.py::normalize_korean 에 _PUNCT_RE 를 추가하여 구두점을 공백으로 치환하는 한 줄 수정만으로 F1&lt;sub&gt;strict&lt;/sub&gt; 가 약 90% 상승하였다. §3 이후의 모든 수치는 이 수정을 반영한 평가기의 결과이다. 한편 330K 보상 캐시는 버그 수정 이전 평가기로 구축되었으므로, 학습 신호 자체는 축소된 F1 값을 참조하고 있다. 그러나 가중치 간 순위는 보존되었고 3-seed 수렴점도 동일하여, 정책 수렴 타당성에는 영향이 없다는 점을 §5.2 에서 논의한다.</w:t>
      </w:r>
    </w:p>
    <w:p>
      <w:pPr>
        <w:pStyle w:val="Heading3"/>
        <w:spacing w:lineRule="auto" w:line="360" w:after="160"/>
      </w:pPr>
      <w:r>
        <w:rPr>
          <w:rFonts w:ascii="바탕" w:hAnsi="바탕" w:eastAsia="바탕"/>
          <w:b/>
          <w:sz w:val="22"/>
        </w:rPr>
        <w:t>마.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pStyle w:val="Heading3"/>
        <w:spacing w:lineRule="auto" w:line="360" w:after="160"/>
      </w:pPr>
      <w:r>
        <w:rPr>
          <w:rFonts w:ascii="바탕" w:hAnsi="바탕" w:eastAsia="바탕"/>
          <w:b/>
          <w:sz w:val="22"/>
        </w:rPr>
        <w:t>바.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pStyle w:val="Heading2"/>
        <w:spacing w:lineRule="auto" w:line="360" w:after="160"/>
      </w:pPr>
      <w:r>
        <w:rPr>
          <w:rFonts w:ascii="바탕" w:hAnsi="바탕" w:eastAsia="바탕"/>
          <w:b/>
          <w:sz w:val="24"/>
        </w:rPr>
        <w:t>2. 오프라인 보상 캐시</w:t>
      </w:r>
    </w:p>
    <w:p>
      <w:pPr>
        <w:pStyle w:val="Heading3"/>
        <w:spacing w:lineRule="auto" w:line="360" w:after="160"/>
      </w:pPr>
      <w:r>
        <w:rPr>
          <w:rFonts w:ascii="바탕" w:hAnsi="바탕" w:eastAsia="바탕"/>
          <w:b/>
          <w:sz w:val="22"/>
        </w:rPr>
        <w:t>가. 구축 요약</w:t>
      </w:r>
    </w:p>
    <w:p>
      <w:pPr>
        <w:spacing w:lineRule="auto" w:line="480" w:after="0"/>
      </w:pPr>
      <w:r>
        <w:rPr>
          <w:rFonts w:ascii="바탕" w:hAnsi="바탕" w:eastAsia="바탕"/>
          <w:b w:val="0"/>
          <w:sz w:val="21"/>
        </w:rPr>
        <w:t>캐시는 5,000 질의 × 66 이산 가중치 조합에 해당하는 330,000 엔트리를 SQLite 파일 하나에 담고 있다. 파일 크기는 16.8 MB 이고, RTX 4090 + 10 워커 병렬 조건에서 wall-clock 14시간에 완료되었다. OpenAI API 청구 기준 실비용은 $33 로, gpt-4o-mini 단가와 재시도 ·캐시-실패 비율을 고려해도 당초 예상과 큰 차이가 나지 않는 수준이었다.</w:t>
      </w:r>
    </w:p>
    <w:p>
      <w:pPr>
        <w:pStyle w:val="Heading3"/>
        <w:spacing w:lineRule="auto" w:line="360" w:after="160"/>
      </w:pPr>
      <w:r>
        <w:rPr>
          <w:rFonts w:ascii="바탕" w:hAnsi="바탕" w:eastAsia="바탕"/>
          <w:b/>
          <w:sz w:val="22"/>
        </w:rPr>
        <w:t>나. 신호 품질 검증</w:t>
      </w:r>
    </w:p>
    <w:p>
      <w:pPr>
        <w:spacing w:lineRule="auto" w:line="480" w:after="0"/>
      </w:pPr>
      <w:r>
        <w:rPr>
          <w:rFonts w:ascii="바탕" w:hAnsi="바탕" w:eastAsia="바탕"/>
          <w:b w:val="0"/>
          <w:sz w:val="21"/>
        </w:rPr>
        <w:t>캐시를 학습에 쓰기 전에, 가중치 선택에 따라 보상이 실제로 움직이는지를 먼저 확인하였다. 만약 대부분의 질의가 모든 가중치 조합에서 동일한 보상을 준다면, PPO 는 학습 신호 없이 제자리를 맴돌게 된다. 분석 결과 5,000 질의 중 보상이 66개 조합에서 모두 같은 값으로 평탄하게 나오는 (Flat-R) 비율은 27.4% 였고, 나머지 72.6% 에서는 가중치 간 보상 편차가 관찰되었다. 질의별 보상 범위 (max − min) 의 중앙값은 0.200 으로, 학습이 수렴하기 위해 보통 요구되는 0.02 수준을 10배 가량 넘는다. F1 과 Faithfulness 의 상관은 0.22 에 머물러, 두 지표가 어느 정도 독립적인 신호를 제공하고 있음도 함께 확인되었다. 구체적 산출 방식은 scripts/cache_quality_report.py 에 두었다.</w:t>
      </w:r>
    </w:p>
    <w:p>
      <w:pPr>
        <w:pStyle w:val="Heading3"/>
        <w:spacing w:lineRule="auto" w:line="360" w:after="160"/>
      </w:pPr>
      <w:r>
        <w:rPr>
          <w:rFonts w:ascii="바탕" w:hAnsi="바탕" w:eastAsia="바탕"/>
          <w:b/>
          <w:sz w:val="22"/>
        </w:rPr>
        <w:t>다. Reward 구성의 실효 관찰</w:t>
      </w:r>
    </w:p>
    <w:p>
      <w:pPr>
        <w:spacing w:lineRule="auto" w:line="480" w:after="0"/>
      </w:pPr>
      <w:r>
        <w:rPr>
          <w:rFonts w:ascii="바탕" w:hAnsi="바탕" w:eastAsia="바탕"/>
          <w:b w:val="0"/>
          <w:sz w:val="21"/>
        </w:rPr>
        <w:t>EM 이 모든 캐시 엔트리에서 0 이라는 점은 reward 식을 실질적으로 단순화한다.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식의 0.3·EM 항은 학습에 아무런 기여를 하지 않으며, 실효 가중치는 F1 과 Faithfulness 가 5 : 2 로 반영되는 구조가 된다. 이 점을 감추지 않고 기록해 두는 쪽이 이후 reward 재설계 논의에서 기반이 된다고 판단하였다. §8.2 에서 EM 가중치를 F1 또는 Faithfulness 로 재분배한 버전의 재실험을 향후 과제로 적어 둔다.</w:t>
      </w:r>
    </w:p>
    <w:p>
      <w:pPr>
        <w:jc w:val="center"/>
      </w:pPr>
      <w:r>
        <w:drawing>
          <wp:inline xmlns:a="http://schemas.openxmlformats.org/drawingml/2006/main" xmlns:pic="http://schemas.openxmlformats.org/drawingml/2006/picture">
            <wp:extent cx="5040000" cy="1965071"/>
            <wp:docPr id="5" name="Picture 5"/>
            <wp:cNvGraphicFramePr>
              <a:graphicFrameLocks noChangeAspect="1"/>
            </wp:cNvGraphicFramePr>
            <a:graphic>
              <a:graphicData uri="http://schemas.openxmlformats.org/drawingml/2006/picture">
                <pic:pic>
                  <pic:nvPicPr>
                    <pic:cNvPr id="0" name="fig6_4_lambda_sensitivity.png"/>
                    <pic:cNvPicPr/>
                  </pic:nvPicPr>
                  <pic:blipFill>
                    <a:blip r:embed="rId13"/>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pStyle w:val="Heading2"/>
        <w:spacing w:lineRule="auto" w:line="360" w:after="160"/>
      </w:pPr>
      <w:r>
        <w:rPr>
          <w:rFonts w:ascii="바탕" w:hAnsi="바탕" w:eastAsia="바탕"/>
          <w:b/>
          <w:sz w:val="24"/>
        </w:rPr>
        <w:t>3.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pStyle w:val="Heading3"/>
        <w:spacing w:lineRule="auto" w:line="360" w:after="160"/>
      </w:pPr>
      <w:r>
        <w:rPr>
          <w:rFonts w:ascii="바탕" w:hAnsi="바탕" w:eastAsia="바탕"/>
          <w:b/>
          <w:sz w:val="22"/>
        </w:rPr>
        <w:t>가.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pStyle w:val="Heading3"/>
        <w:spacing w:lineRule="auto" w:line="360" w:after="160"/>
      </w:pPr>
      <w:r>
        <w:rPr>
          <w:rFonts w:ascii="바탕" w:hAnsi="바탕" w:eastAsia="바탕"/>
          <w:b/>
          <w:sz w:val="22"/>
        </w:rPr>
        <w:t>나.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480" w:after="0"/>
      </w:pPr>
      <w:r>
        <w:rPr>
          <w:rFonts w:ascii="바탕" w:hAnsi="바탕" w:eastAsia="바탕"/>
          <w:b w:val="0"/>
          <w:sz w:val="21"/>
        </w:rPr>
        <w:t>비교 누락 주석. 본 표에는 Uniform (1/3, 1/3, 1/3) 정책의 list-prompt 측정이 포함되지 않았다. 동일 정책의 cache regime 측정 (sentence prompt, 표 6-2c §3 아) 에서는 Uniform 이 R-DWA 를 통계적으로 유의하게 능가하는 것이 확인되었으며, list-prompt regime 에서의 동일 비교는 §8 나의 1순위 향후 연구로 명시한다. 이 주석은 헤드라인 결과의 적용 범위 (corrected baseline + L-DWA vs R-DWA 의 비교) 를 정직하게 한정하기 위한 것이다.</w:t>
      </w:r>
    </w:p>
    <w:p>
      <w:pPr>
        <w:pStyle w:val="Heading3"/>
        <w:spacing w:lineRule="auto" w:line="360" w:after="160"/>
      </w:pPr>
      <w:r>
        <w:rPr>
          <w:rFonts w:ascii="바탕" w:hAnsi="바탕" w:eastAsia="바탕"/>
          <w:b/>
          <w:sz w:val="22"/>
        </w:rPr>
        <w:t>다.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F1&lt;sub&gt;strict&lt;/sub&gt; R-DWA 0.223 vs L-DWA 3-seed 평균 0.285 (+27.8%), Oracle 0.290 과 사실상 동등. F1&lt;sub&gt;substring&lt;/sub&gt; 으로는 R-DWA 0.148 vs L-DWA 0.190 (+28.6%), Oracle 0.201 과 동등 수준이다.</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pStyle w:val="Heading3"/>
        <w:spacing w:lineRule="auto" w:line="360" w:after="160"/>
      </w:pPr>
      <w:r>
        <w:rPr>
          <w:rFonts w:ascii="바탕" w:hAnsi="바탕" w:eastAsia="바탕"/>
          <w:b/>
          <w:sz w:val="22"/>
        </w:rPr>
        <w:t>라.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얼마나 접근 (혹은 초과) 하는지가 학습 유효성의 증거. Corrected baseline (List 프롬프트, 5,000 QA, 3-seed 평균)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(3-seed) | Oracle | Δ (L−Oracle)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+0.008 (Oracle 초과) |</w:t>
      </w:r>
    </w:p>
    <w:p>
      <w:pPr>
        <w:spacing w:lineRule="auto" w:line="360" w:after="0"/>
        <w:ind w:left="567"/>
      </w:pPr>
      <w:r>
        <w:rPr>
          <w:rFonts w:ascii="바탕" w:hAnsi="바탕" w:eastAsia="바탕"/>
          <w:b w:val="0"/>
          <w:sz w:val="20"/>
        </w:rPr>
        <w:t>▸ | F1&lt;sub&gt;substring&lt;/sub&gt; | 0.482 | 0.507 ± 0.009 | 0.504 | +0.003 (Oracle 초과) |</w:t>
      </w:r>
    </w:p>
    <w:p>
      <w:pPr>
        <w:spacing w:lineRule="auto" w:line="360" w:after="0"/>
        <w:ind w:left="567"/>
      </w:pPr>
      <w:r>
        <w:rPr>
          <w:rFonts w:ascii="바탕" w:hAnsi="바탕" w:eastAsia="바탕"/>
          <w:b w:val="0"/>
          <w:sz w:val="20"/>
        </w:rPr>
        <w:t>▸ | F1&lt;sub&gt;char&lt;/sub&gt; | 0.469 | 0.494 ± 0.010 | 0.487 | +0.007 (Oracle 초과) |</w:t>
      </w:r>
    </w:p>
    <w:p>
      <w:pPr>
        <w:spacing w:lineRule="auto" w:line="360" w:after="0"/>
        <w:ind w:left="567"/>
      </w:pPr>
      <w:r>
        <w:rPr>
          <w:rFonts w:ascii="바탕" w:hAnsi="바탕" w:eastAsia="바탕"/>
          <w:b w:val="0"/>
          <w:sz w:val="20"/>
        </w:rPr>
        <w:t>▸ | EM | 0.387 | 0.388 ± 0.001 | 0.388 | ≈ 0 (Oracle 동등) |</w:t>
      </w:r>
    </w:p>
    <w:p>
      <w:pPr>
        <w:spacing w:lineRule="auto" w:line="360" w:after="0"/>
        <w:ind w:left="567"/>
      </w:pPr>
      <w:r>
        <w:rPr>
          <w:rFonts w:ascii="바탕" w:hAnsi="바탕" w:eastAsia="바탕"/>
          <w:b w:val="0"/>
          <w:sz w:val="20"/>
        </w:rPr>
        <w:t>▸ | Faithfulness | 0.544 | 0.580 ± 0.009 | 0.570 | +0.010 (Oracle 초과)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 가 5개 지표 중 4개에서 Oracle 을 초과 한다. Oracle 은 66-점 이산 격자에서의 per-query argmax 인 반면 L-DWA 는 Δ³ simplex 의 연속 가중치 공간을 학습한다. 따라서 L-DWA 의 Dirichlet 평균이 격자 바깥의 더 좋은 점을 활용한다는 해석이 자연스럽다 (자세한 분석은 §3.2).</w:t>
      </w:r>
    </w:p>
    <w:p>
      <w:pPr>
        <w:pStyle w:val="Heading3"/>
        <w:spacing w:lineRule="auto" w:line="360" w:after="160"/>
      </w:pPr>
      <w:r>
        <w:rPr>
          <w:rFonts w:ascii="바탕" w:hAnsi="바탕" w:eastAsia="바탕"/>
          <w:b/>
          <w:sz w:val="22"/>
        </w:rPr>
        <w:t>마.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pStyle w:val="Heading3"/>
        <w:spacing w:lineRule="auto" w:line="360" w:after="160"/>
      </w:pPr>
      <w:r>
        <w:rPr>
          <w:rFonts w:ascii="바탕" w:hAnsi="바탕" w:eastAsia="바탕"/>
          <w:b/>
          <w:sz w:val="22"/>
        </w:rPr>
        <w:t>바.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6" name="Picture 6"/>
            <wp:cNvGraphicFramePr>
              <a:graphicFrameLocks noChangeAspect="1"/>
            </wp:cNvGraphicFramePr>
            <a:graphic>
              <a:graphicData uri="http://schemas.openxmlformats.org/drawingml/2006/picture">
                <pic:pic>
                  <pic:nvPicPr>
                    <pic:cNvPr id="0" name="fig6_1_prompt_delta.png"/>
                    <pic:cNvPicPr/>
                  </pic:nvPicPr>
                  <pic:blipFill>
                    <a:blip r:embed="rId14"/>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7" name="Picture 7"/>
            <wp:cNvGraphicFramePr>
              <a:graphicFrameLocks noChangeAspect="1"/>
            </wp:cNvGraphicFramePr>
            <a:graphic>
              <a:graphicData uri="http://schemas.openxmlformats.org/drawingml/2006/picture">
                <pic:pic>
                  <pic:nvPicPr>
                    <pic:cNvPr id="0" name="fig6_2_per_type.png"/>
                    <pic:cNvPicPr/>
                  </pic:nvPicPr>
                  <pic:blipFill>
                    <a:blip r:embed="rId15"/>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8" name="Picture 8"/>
            <wp:cNvGraphicFramePr>
              <a:graphicFrameLocks noChangeAspect="1"/>
            </wp:cNvGraphicFramePr>
            <a:graphic>
              <a:graphicData uri="http://schemas.openxmlformats.org/drawingml/2006/picture">
                <pic:pic>
                  <pic:nvPicPr>
                    <pic:cNvPr id="0" name="fig6_3_weight_distribution.png"/>
                    <pic:cNvPicPr/>
                  </pic:nvPicPr>
                  <pic:blipFill>
                    <a:blip r:embed="rId16"/>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pStyle w:val="Heading3"/>
        <w:spacing w:lineRule="auto" w:line="360" w:after="160"/>
      </w:pPr>
      <w:r>
        <w:rPr>
          <w:rFonts w:ascii="바탕" w:hAnsi="바탕" w:eastAsia="바탕"/>
          <w:b/>
          <w:sz w:val="22"/>
        </w:rPr>
        <w:t>사.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pStyle w:val="Heading3"/>
        <w:spacing w:lineRule="auto" w:line="360" w:after="160"/>
      </w:pPr>
      <w:r>
        <w:rPr>
          <w:rFonts w:ascii="바탕" w:hAnsi="바탕" w:eastAsia="바탕"/>
          <w:b/>
          <w:sz w:val="22"/>
        </w:rPr>
        <w:t>아. 통계적 유의성 — Paired Bootstrap (BCa 95% CI)</w:t>
      </w:r>
    </w:p>
    <w:p>
      <w:pPr>
        <w:spacing w:lineRule="auto" w:line="480" w:after="0"/>
      </w:pPr>
      <w:r>
        <w:rPr>
          <w:rFonts w:ascii="바탕" w:hAnsi="바탕" w:eastAsia="바탕"/>
          <w:b w:val="0"/>
          <w:sz w:val="21"/>
        </w:rPr>
        <w:t>§3 나의 헤드라인 표는 정책별 평균과 표준편차만 제시한다. 차이의 크기가 표본 변동에 비해 충분함을 시사하지만 정량적 근거로는 약하다. 본 항은 5,000 query-level 측정값에 대해 paired bootstrap (BCa 보정 95% CI, 5,000 resamples) 을 적용하여 정책 간 차이의 통계적 유의성과 효과 크기 (Cohen's d&lt;sub&gt;z&lt;/sub&gt;) 를 함께 보고한다. 분석 단위는 cache evaluator 위의 동일한 5,000 QA 이고, 모든 정책이 동일 reward 함수를 거치므로 within-policy 비교의 순위 타당성은 절대값과 무관하게 유지된다.</w:t>
      </w:r>
    </w:p>
    <w:p>
      <w:pPr>
        <w:pStyle w:val="Heading4"/>
        <w:spacing w:lineRule="auto" w:line="360" w:after="160"/>
      </w:pPr>
      <w:r>
        <w:rPr>
          <w:rFonts w:ascii="바탕" w:hAnsi="바탕" w:eastAsia="바탕"/>
          <w:b/>
          <w:sz w:val="24"/>
        </w:rPr>
        <w:t>[표 6-2c] Paired bootstrap — 정책 vs R-DWA (Cache regime, F1)</w:t>
      </w:r>
    </w:p>
    <w:tbl>
      <w:tblPr>
        <w:tblStyle w:val="TableGrid"/>
        <w:tblW w:type="auto" w:w="0"/>
        <w:tblLook w:firstColumn="1" w:firstRow="1" w:lastColumn="0" w:lastRow="0" w:noHBand="0" w:noVBand="1" w:val="04A0"/>
      </w:tblPr>
      <w:tblGrid>
        <w:gridCol w:w="1049"/>
        <w:gridCol w:w="1049"/>
        <w:gridCol w:w="1049"/>
        <w:gridCol w:w="1049"/>
        <w:gridCol w:w="1049"/>
        <w:gridCol w:w="1049"/>
        <w:gridCol w:w="1049"/>
        <w:gridCol w:w="1049"/>
      </w:tblGrid>
      <w:tr>
        <w:tc>
          <w:tcPr>
            <w:tcW w:type="dxa" w:w="1049"/>
          </w:tcPr>
          <w:p>
            <w:pPr>
              <w:spacing w:lineRule="auto" w:line="276" w:after="0"/>
            </w:pPr>
            <w:r/>
            <w:r>
              <w:rPr>
                <w:rFonts w:ascii="바탕" w:hAnsi="바탕" w:eastAsia="바탕"/>
                <w:b/>
                <w:sz w:val="19"/>
              </w:rPr>
              <w:t>정책</w:t>
            </w:r>
          </w:p>
        </w:tc>
        <w:tc>
          <w:tcPr>
            <w:tcW w:type="dxa" w:w="1049"/>
          </w:tcPr>
          <w:p>
            <w:pPr>
              <w:spacing w:lineRule="auto" w:line="276" w:after="0"/>
            </w:pPr>
            <w:r/>
            <w:r>
              <w:rPr>
                <w:rFonts w:ascii="바탕" w:hAnsi="바탕" w:eastAsia="바탕"/>
                <w:b/>
                <w:sz w:val="19"/>
              </w:rPr>
              <w:t>mean (정책)</w:t>
            </w:r>
          </w:p>
        </w:tc>
        <w:tc>
          <w:tcPr>
            <w:tcW w:type="dxa" w:w="1049"/>
          </w:tcPr>
          <w:p>
            <w:pPr>
              <w:spacing w:lineRule="auto" w:line="276" w:after="0"/>
            </w:pPr>
            <w:r/>
            <w:r>
              <w:rPr>
                <w:rFonts w:ascii="바탕" w:hAnsi="바탕" w:eastAsia="바탕"/>
                <w:b/>
                <w:sz w:val="19"/>
              </w:rPr>
              <w:t>mean (R-DWA)</w:t>
            </w:r>
          </w:p>
        </w:tc>
        <w:tc>
          <w:tcPr>
            <w:tcW w:type="dxa" w:w="1049"/>
          </w:tcPr>
          <w:p>
            <w:pPr>
              <w:spacing w:lineRule="auto" w:line="276" w:after="0"/>
            </w:pPr>
            <w:r/>
            <w:r>
              <w:rPr>
                <w:rFonts w:ascii="바탕" w:hAnsi="바탕" w:eastAsia="바탕"/>
                <w:b/>
                <w:sz w:val="19"/>
              </w:rPr>
              <w:t>Δ</w:t>
            </w:r>
          </w:p>
        </w:tc>
        <w:tc>
          <w:tcPr>
            <w:tcW w:type="dxa" w:w="1049"/>
          </w:tcPr>
          <w:p>
            <w:pPr>
              <w:spacing w:lineRule="auto" w:line="276" w:after="0"/>
            </w:pPr>
            <w:r/>
            <w:r>
              <w:rPr>
                <w:rFonts w:ascii="바탕" w:hAnsi="바탕" w:eastAsia="바탕"/>
                <w:b/>
                <w:sz w:val="19"/>
              </w:rPr>
              <w:t>95% CI (BCa)</w:t>
            </w:r>
          </w:p>
        </w:tc>
        <w:tc>
          <w:tcPr>
            <w:tcW w:type="dxa" w:w="1049"/>
          </w:tcPr>
          <w:p>
            <w:pPr>
              <w:spacing w:lineRule="auto" w:line="276" w:after="0"/>
            </w:pPr>
            <w:r/>
            <w:r>
              <w:rPr>
                <w:rFonts w:ascii="바탕" w:hAnsi="바탕" w:eastAsia="바탕"/>
                <w:b/>
                <w:sz w:val="19"/>
              </w:rPr>
              <w:t>p (2-sided)</w:t>
            </w:r>
          </w:p>
        </w:tc>
        <w:tc>
          <w:tcPr>
            <w:tcW w:type="dxa" w:w="1049"/>
          </w:tcPr>
          <w:p>
            <w:pPr>
              <w:spacing w:lineRule="auto" w:line="276" w:after="0"/>
            </w:pPr>
            <w:r/>
            <w:r>
              <w:rPr>
                <w:rFonts w:ascii="바탕" w:hAnsi="바탕" w:eastAsia="바탕"/>
                <w:b/>
                <w:sz w:val="19"/>
              </w:rPr>
              <w:t>Cohen's d&lt;sub&gt;z&lt;/sub&gt;</w:t>
            </w:r>
          </w:p>
        </w:tc>
        <w:tc>
          <w:tcPr>
            <w:tcW w:type="dxa" w:w="1049"/>
          </w:tcPr>
          <w:p>
            <w:pPr>
              <w:spacing w:lineRule="auto" w:line="276" w:after="0"/>
            </w:pPr>
            <w:r/>
            <w:r>
              <w:rPr>
                <w:rFonts w:ascii="바탕" w:hAnsi="바탕" w:eastAsia="바탕"/>
                <w:b/>
                <w:sz w:val="19"/>
              </w:rPr>
              <w:t>판정</w:t>
            </w:r>
          </w:p>
        </w:tc>
      </w:tr>
      <w:tr>
        <w:tc>
          <w:tcPr>
            <w:tcW w:type="dxa" w:w="1049"/>
          </w:tcPr>
          <w:p>
            <w:pPr>
              <w:spacing w:lineRule="auto" w:line="276" w:after="0"/>
            </w:pPr>
            <w:r/>
            <w:r>
              <w:rPr>
                <w:rFonts w:ascii="바탕" w:hAnsi="바탕" w:eastAsia="바탕"/>
                <w:b w:val="0"/>
                <w:sz w:val="19"/>
              </w:rPr>
              <w:t>Uniform (1/3, 1/3, 1/3)</w:t>
            </w:r>
          </w:p>
        </w:tc>
        <w:tc>
          <w:tcPr>
            <w:tcW w:type="dxa" w:w="1049"/>
          </w:tcPr>
          <w:p>
            <w:pPr>
              <w:spacing w:lineRule="auto" w:line="276" w:after="0"/>
            </w:pPr>
            <w:r/>
            <w:r>
              <w:rPr>
                <w:rFonts w:ascii="바탕" w:hAnsi="바탕" w:eastAsia="바탕"/>
                <w:b w:val="0"/>
                <w:sz w:val="19"/>
              </w:rPr>
              <w:t>0.0827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+0.0114</w:t>
            </w:r>
          </w:p>
        </w:tc>
        <w:tc>
          <w:tcPr>
            <w:tcW w:type="dxa" w:w="1049"/>
          </w:tcPr>
          <w:p>
            <w:pPr>
              <w:spacing w:lineRule="auto" w:line="276" w:after="0"/>
            </w:pPr>
            <w:r/>
            <w:r>
              <w:rPr>
                <w:rFonts w:ascii="바탕" w:hAnsi="바탕" w:eastAsia="바탕"/>
                <w:b w:val="0"/>
                <w:sz w:val="19"/>
              </w:rPr>
              <w:t>[+0.0091, +0.0138]</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+0.135</w:t>
            </w:r>
          </w:p>
        </w:tc>
        <w:tc>
          <w:tcPr>
            <w:tcW w:type="dxa" w:w="1049"/>
          </w:tcPr>
          <w:p>
            <w:pPr>
              <w:spacing w:lineRule="auto" w:line="276" w:after="0"/>
            </w:pPr>
            <w:r/>
            <w:r>
              <w:rPr>
                <w:rFonts w:ascii="바탕" w:hAnsi="바탕" w:eastAsia="바탕"/>
                <w:b w:val="0"/>
                <w:sz w:val="19"/>
              </w:rPr>
              <w:t>✅ Uniform 우위</w:t>
            </w:r>
          </w:p>
        </w:tc>
      </w:tr>
      <w:tr>
        <w:tc>
          <w:tcPr>
            <w:tcW w:type="dxa" w:w="1049"/>
          </w:tcPr>
          <w:p>
            <w:pPr>
              <w:spacing w:lineRule="auto" w:line="276" w:after="0"/>
            </w:pPr>
            <w:r/>
            <w:r>
              <w:rPr>
                <w:rFonts w:ascii="바탕" w:hAnsi="바탕" w:eastAsia="바탕"/>
                <w:b w:val="0"/>
                <w:sz w:val="19"/>
              </w:rPr>
              <w:t>Vector-only</w:t>
            </w:r>
          </w:p>
        </w:tc>
        <w:tc>
          <w:tcPr>
            <w:tcW w:type="dxa" w:w="1049"/>
          </w:tcPr>
          <w:p>
            <w:pPr>
              <w:spacing w:lineRule="auto" w:line="276" w:after="0"/>
            </w:pPr>
            <w:r/>
            <w:r>
              <w:rPr>
                <w:rFonts w:ascii="바탕" w:hAnsi="바탕" w:eastAsia="바탕"/>
                <w:b w:val="0"/>
                <w:sz w:val="19"/>
              </w:rPr>
              <w:t>0.0820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+0.0107</w:t>
            </w:r>
          </w:p>
        </w:tc>
        <w:tc>
          <w:tcPr>
            <w:tcW w:type="dxa" w:w="1049"/>
          </w:tcPr>
          <w:p>
            <w:pPr>
              <w:spacing w:lineRule="auto" w:line="276" w:after="0"/>
            </w:pPr>
            <w:r/>
            <w:r>
              <w:rPr>
                <w:rFonts w:ascii="바탕" w:hAnsi="바탕" w:eastAsia="바탕"/>
                <w:b w:val="0"/>
                <w:sz w:val="19"/>
              </w:rPr>
              <w:t>[+0.0080, +0.0132]</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+0.114</w:t>
            </w:r>
          </w:p>
        </w:tc>
        <w:tc>
          <w:tcPr>
            <w:tcW w:type="dxa" w:w="1049"/>
          </w:tcPr>
          <w:p>
            <w:pPr>
              <w:spacing w:lineRule="auto" w:line="276" w:after="0"/>
            </w:pPr>
            <w:r/>
            <w:r>
              <w:rPr>
                <w:rFonts w:ascii="바탕" w:hAnsi="바탕" w:eastAsia="바탕"/>
                <w:b w:val="0"/>
                <w:sz w:val="19"/>
              </w:rPr>
              <w:t>✅ Vector 우위</w:t>
            </w:r>
          </w:p>
        </w:tc>
      </w:tr>
      <w:tr>
        <w:tc>
          <w:tcPr>
            <w:tcW w:type="dxa" w:w="1049"/>
          </w:tcPr>
          <w:p>
            <w:pPr>
              <w:spacing w:lineRule="auto" w:line="276" w:after="0"/>
            </w:pPr>
            <w:r/>
            <w:r>
              <w:rPr>
                <w:rFonts w:ascii="바탕" w:hAnsi="바탕" w:eastAsia="바탕"/>
                <w:b w:val="0"/>
                <w:sz w:val="19"/>
              </w:rPr>
              <w:t>Graph-only</w:t>
            </w:r>
          </w:p>
        </w:tc>
        <w:tc>
          <w:tcPr>
            <w:tcW w:type="dxa" w:w="1049"/>
          </w:tcPr>
          <w:p>
            <w:pPr>
              <w:spacing w:lineRule="auto" w:line="276" w:after="0"/>
            </w:pPr>
            <w:r/>
            <w:r>
              <w:rPr>
                <w:rFonts w:ascii="바탕" w:hAnsi="바탕" w:eastAsia="바탕"/>
                <w:b w:val="0"/>
                <w:sz w:val="19"/>
              </w:rPr>
              <w:t>0.0434</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-0.0279</w:t>
            </w:r>
          </w:p>
        </w:tc>
        <w:tc>
          <w:tcPr>
            <w:tcW w:type="dxa" w:w="1049"/>
          </w:tcPr>
          <w:p>
            <w:pPr>
              <w:spacing w:lineRule="auto" w:line="276" w:after="0"/>
            </w:pPr>
            <w:r/>
            <w:r>
              <w:rPr>
                <w:rFonts w:ascii="바탕" w:hAnsi="바탕" w:eastAsia="바탕"/>
                <w:b w:val="0"/>
                <w:sz w:val="19"/>
              </w:rPr>
              <w:t>[-0.0309, -0.0249]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-0.256</w:t>
            </w:r>
          </w:p>
        </w:tc>
        <w:tc>
          <w:tcPr>
            <w:tcW w:type="dxa" w:w="1049"/>
          </w:tcPr>
          <w:p>
            <w:pPr>
              <w:spacing w:lineRule="auto" w:line="276" w:after="0"/>
            </w:pPr>
            <w:r/>
            <w:r>
              <w:rPr>
                <w:rFonts w:ascii="바탕" w:hAnsi="바탕" w:eastAsia="바탕"/>
                <w:b w:val="0"/>
                <w:sz w:val="19"/>
              </w:rPr>
              <w:t>❌ Graph 열위</w:t>
            </w:r>
          </w:p>
        </w:tc>
      </w:tr>
      <w:tr>
        <w:tc>
          <w:tcPr>
            <w:tcW w:type="dxa" w:w="1049"/>
          </w:tcPr>
          <w:p>
            <w:pPr>
              <w:spacing w:lineRule="auto" w:line="276" w:after="0"/>
            </w:pPr>
            <w:r/>
            <w:r>
              <w:rPr>
                <w:rFonts w:ascii="바탕" w:hAnsi="바탕" w:eastAsia="바탕"/>
                <w:b w:val="0"/>
                <w:sz w:val="19"/>
              </w:rPr>
              <w:t>Ontology-only</w:t>
            </w:r>
          </w:p>
        </w:tc>
        <w:tc>
          <w:tcPr>
            <w:tcW w:type="dxa" w:w="1049"/>
          </w:tcPr>
          <w:p>
            <w:pPr>
              <w:spacing w:lineRule="auto" w:line="276" w:after="0"/>
            </w:pPr>
            <w:r/>
            <w:r>
              <w:rPr>
                <w:rFonts w:ascii="바탕" w:hAnsi="바탕" w:eastAsia="바탕"/>
                <w:b w:val="0"/>
                <w:sz w:val="19"/>
              </w:rPr>
              <w:t>0.0446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-0.0267</w:t>
            </w:r>
          </w:p>
        </w:tc>
        <w:tc>
          <w:tcPr>
            <w:tcW w:type="dxa" w:w="1049"/>
          </w:tcPr>
          <w:p>
            <w:pPr>
              <w:spacing w:lineRule="auto" w:line="276" w:after="0"/>
            </w:pPr>
            <w:r/>
            <w:r>
              <w:rPr>
                <w:rFonts w:ascii="바탕" w:hAnsi="바탕" w:eastAsia="바탕"/>
                <w:b w:val="0"/>
                <w:sz w:val="19"/>
              </w:rPr>
              <w:t>[-0.0300, -0.0234]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-0.227</w:t>
            </w:r>
          </w:p>
        </w:tc>
        <w:tc>
          <w:tcPr>
            <w:tcW w:type="dxa" w:w="1049"/>
          </w:tcPr>
          <w:p>
            <w:pPr>
              <w:spacing w:lineRule="auto" w:line="276" w:after="0"/>
            </w:pPr>
            <w:r/>
            <w:r>
              <w:rPr>
                <w:rFonts w:ascii="바탕" w:hAnsi="바탕" w:eastAsia="바탕"/>
                <w:b w:val="0"/>
                <w:sz w:val="19"/>
              </w:rPr>
              <w:t>❌ Ont 열위</w:t>
            </w:r>
          </w:p>
        </w:tc>
      </w:tr>
      <w:tr>
        <w:tc>
          <w:tcPr>
            <w:tcW w:type="dxa" w:w="1049"/>
          </w:tcPr>
          <w:p>
            <w:pPr>
              <w:spacing w:lineRule="auto" w:line="276" w:after="0"/>
            </w:pPr>
            <w:r/>
            <w:r>
              <w:rPr>
                <w:rFonts w:ascii="바탕" w:hAnsi="바탕" w:eastAsia="바탕"/>
                <w:b w:val="0"/>
                <w:sz w:val="19"/>
              </w:rPr>
              <w:t>L-DWA seed 42</w:t>
            </w:r>
          </w:p>
        </w:tc>
        <w:tc>
          <w:tcPr>
            <w:tcW w:type="dxa" w:w="1049"/>
          </w:tcPr>
          <w:p>
            <w:pPr>
              <w:spacing w:lineRule="auto" w:line="276" w:after="0"/>
            </w:pPr>
            <w:r/>
            <w:r>
              <w:rPr>
                <w:rFonts w:ascii="바탕" w:hAnsi="바탕" w:eastAsia="바탕"/>
                <w:b w:val="0"/>
                <w:sz w:val="19"/>
              </w:rPr>
              <w:t>0.0860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+0.0147</w:t>
            </w:r>
          </w:p>
        </w:tc>
        <w:tc>
          <w:tcPr>
            <w:tcW w:type="dxa" w:w="1049"/>
          </w:tcPr>
          <w:p>
            <w:pPr>
              <w:spacing w:lineRule="auto" w:line="276" w:after="0"/>
            </w:pPr>
            <w:r/>
            <w:r>
              <w:rPr>
                <w:rFonts w:ascii="바탕" w:hAnsi="바탕" w:eastAsia="바탕"/>
                <w:b w:val="0"/>
                <w:sz w:val="19"/>
              </w:rPr>
              <w:t>[+0.0123, +0.0170]</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+0.174</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123</w:t>
            </w:r>
          </w:p>
        </w:tc>
        <w:tc>
          <w:tcPr>
            <w:tcW w:type="dxa" w:w="1049"/>
          </w:tcPr>
          <w:p>
            <w:pPr>
              <w:spacing w:lineRule="auto" w:line="276" w:after="0"/>
            </w:pPr>
            <w:r/>
            <w:r>
              <w:rPr>
                <w:rFonts w:ascii="바탕" w:hAnsi="바탕" w:eastAsia="바탕"/>
                <w:b w:val="0"/>
                <w:sz w:val="19"/>
              </w:rPr>
              <w:t>0.0856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+0.0143</w:t>
            </w:r>
          </w:p>
        </w:tc>
        <w:tc>
          <w:tcPr>
            <w:tcW w:type="dxa" w:w="1049"/>
          </w:tcPr>
          <w:p>
            <w:pPr>
              <w:spacing w:lineRule="auto" w:line="276" w:after="0"/>
            </w:pPr>
            <w:r/>
            <w:r>
              <w:rPr>
                <w:rFonts w:ascii="바탕" w:hAnsi="바탕" w:eastAsia="바탕"/>
                <w:b w:val="0"/>
                <w:sz w:val="19"/>
              </w:rPr>
              <w:t>[+0.0120, +0.0167]</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+0.173</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999</w:t>
            </w:r>
          </w:p>
        </w:tc>
        <w:tc>
          <w:tcPr>
            <w:tcW w:type="dxa" w:w="1049"/>
          </w:tcPr>
          <w:p>
            <w:pPr>
              <w:spacing w:lineRule="auto" w:line="276" w:after="0"/>
            </w:pPr>
            <w:r/>
            <w:r>
              <w:rPr>
                <w:rFonts w:ascii="바탕" w:hAnsi="바탕" w:eastAsia="바탕"/>
                <w:b w:val="0"/>
                <w:sz w:val="19"/>
              </w:rPr>
              <w:t>0.0838</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+0.0125</w:t>
            </w:r>
          </w:p>
        </w:tc>
        <w:tc>
          <w:tcPr>
            <w:tcW w:type="dxa" w:w="1049"/>
          </w:tcPr>
          <w:p>
            <w:pPr>
              <w:spacing w:lineRule="auto" w:line="276" w:after="0"/>
            </w:pPr>
            <w:r/>
            <w:r>
              <w:rPr>
                <w:rFonts w:ascii="바탕" w:hAnsi="바탕" w:eastAsia="바탕"/>
                <w:b w:val="0"/>
                <w:sz w:val="19"/>
              </w:rPr>
              <w:t>[+0.0101, +0.0149]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+0.146</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Oracle (per-q argmax)</w:t>
            </w:r>
          </w:p>
        </w:tc>
        <w:tc>
          <w:tcPr>
            <w:tcW w:type="dxa" w:w="1049"/>
          </w:tcPr>
          <w:p>
            <w:pPr>
              <w:spacing w:lineRule="auto" w:line="276" w:after="0"/>
            </w:pPr>
            <w:r/>
            <w:r>
              <w:rPr>
                <w:rFonts w:ascii="바탕" w:hAnsi="바탕" w:eastAsia="바탕"/>
                <w:b w:val="0"/>
                <w:sz w:val="19"/>
              </w:rPr>
              <w:t>0.1207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+0.0494</w:t>
            </w:r>
          </w:p>
        </w:tc>
        <w:tc>
          <w:tcPr>
            <w:tcW w:type="dxa" w:w="1049"/>
          </w:tcPr>
          <w:p>
            <w:pPr>
              <w:spacing w:lineRule="auto" w:line="276" w:after="0"/>
            </w:pPr>
            <w:r/>
            <w:r>
              <w:rPr>
                <w:rFonts w:ascii="바탕" w:hAnsi="바탕" w:eastAsia="바탕"/>
                <w:b w:val="0"/>
                <w:sz w:val="19"/>
              </w:rPr>
              <w:t>[+0.0464, +0.0524]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+0.456</w:t>
            </w:r>
          </w:p>
        </w:tc>
        <w:tc>
          <w:tcPr>
            <w:tcW w:type="dxa" w:w="1049"/>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[표 6-2d] Paired bootstrap — 정책 vs Uniform (Cache regime, F1)</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Δ vs Uniform</w:t>
            </w:r>
          </w:p>
        </w:tc>
        <w:tc>
          <w:tcPr>
            <w:tcW w:type="dxa" w:w="1398"/>
          </w:tcPr>
          <w:p>
            <w:pPr>
              <w:spacing w:lineRule="auto" w:line="276" w:after="0"/>
            </w:pPr>
            <w:r/>
            <w:r>
              <w:rPr>
                <w:rFonts w:ascii="바탕" w:hAnsi="바탕" w:eastAsia="바탕"/>
                <w:b/>
                <w:sz w:val="19"/>
              </w:rPr>
              <w:t>95% CI (BCa)</w:t>
            </w:r>
          </w:p>
        </w:tc>
        <w:tc>
          <w:tcPr>
            <w:tcW w:type="dxa" w:w="1398"/>
          </w:tcPr>
          <w:p>
            <w:pPr>
              <w:spacing w:lineRule="auto" w:line="276" w:after="0"/>
            </w:pPr>
            <w:r/>
            <w:r>
              <w:rPr>
                <w:rFonts w:ascii="바탕" w:hAnsi="바탕" w:eastAsia="바탕"/>
                <w:b/>
                <w:sz w:val="19"/>
              </w:rPr>
              <w:t>p (2-sided)</w:t>
            </w:r>
          </w:p>
        </w:tc>
        <w:tc>
          <w:tcPr>
            <w:tcW w:type="dxa" w:w="1398"/>
          </w:tcPr>
          <w:p>
            <w:pPr>
              <w:spacing w:lineRule="auto" w:line="276" w:after="0"/>
            </w:pPr>
            <w:r/>
            <w:r>
              <w:rPr>
                <w:rFonts w:ascii="바탕" w:hAnsi="바탕" w:eastAsia="바탕"/>
                <w:b/>
                <w:sz w:val="19"/>
              </w:rPr>
              <w:t>d&lt;sub&gt;z&lt;/sub&gt;</w:t>
            </w:r>
          </w:p>
        </w:tc>
        <w:tc>
          <w:tcPr>
            <w:tcW w:type="dxa" w:w="1398"/>
          </w:tcPr>
          <w:p>
            <w:pPr>
              <w:spacing w:lineRule="auto" w:line="276" w:after="0"/>
            </w:pPr>
            <w:r/>
            <w:r>
              <w:rPr>
                <w:rFonts w:ascii="바탕" w:hAnsi="바탕" w:eastAsia="바탕"/>
                <w:b/>
                <w:sz w:val="19"/>
              </w:rPr>
              <w:t>판정</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-0.0114</w:t>
            </w:r>
          </w:p>
        </w:tc>
        <w:tc>
          <w:tcPr>
            <w:tcW w:type="dxa" w:w="1398"/>
          </w:tcPr>
          <w:p>
            <w:pPr>
              <w:spacing w:lineRule="auto" w:line="276" w:after="0"/>
            </w:pPr>
            <w:r/>
            <w:r>
              <w:rPr>
                <w:rFonts w:ascii="바탕" w:hAnsi="바탕" w:eastAsia="바탕"/>
                <w:b w:val="0"/>
                <w:sz w:val="19"/>
              </w:rPr>
              <w:t>[-0.0138, -0.0091]</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-0.135</w:t>
            </w:r>
          </w:p>
        </w:tc>
        <w:tc>
          <w:tcPr>
            <w:tcW w:type="dxa" w:w="1398"/>
          </w:tcPr>
          <w:p>
            <w:pPr>
              <w:spacing w:lineRule="auto" w:line="276" w:after="0"/>
            </w:pPr>
            <w:r/>
            <w:r>
              <w:rPr>
                <w:rFonts w:ascii="바탕" w:hAnsi="바탕" w:eastAsia="바탕"/>
                <w:b w:val="0"/>
                <w:sz w:val="19"/>
              </w:rPr>
              <w:t>❌ R-DWA 열위</w:t>
            </w:r>
          </w:p>
        </w:tc>
      </w:tr>
      <w:tr>
        <w:tc>
          <w:tcPr>
            <w:tcW w:type="dxa" w:w="1398"/>
          </w:tcPr>
          <w:p>
            <w:pPr>
              <w:spacing w:lineRule="auto" w:line="276" w:after="0"/>
            </w:pPr>
            <w:r/>
            <w:r>
              <w:rPr>
                <w:rFonts w:ascii="바탕" w:hAnsi="바탕" w:eastAsia="바탕"/>
                <w:b w:val="0"/>
                <w:sz w:val="19"/>
              </w:rPr>
              <w:t>Vector-only</w:t>
            </w:r>
          </w:p>
        </w:tc>
        <w:tc>
          <w:tcPr>
            <w:tcW w:type="dxa" w:w="1398"/>
          </w:tcPr>
          <w:p>
            <w:pPr>
              <w:spacing w:lineRule="auto" w:line="276" w:after="0"/>
            </w:pPr>
            <w:r/>
            <w:r>
              <w:rPr>
                <w:rFonts w:ascii="바탕" w:hAnsi="바탕" w:eastAsia="바탕"/>
                <w:b w:val="0"/>
                <w:sz w:val="19"/>
              </w:rPr>
              <w:t>-0.0007</w:t>
            </w:r>
          </w:p>
        </w:tc>
        <w:tc>
          <w:tcPr>
            <w:tcW w:type="dxa" w:w="1398"/>
          </w:tcPr>
          <w:p>
            <w:pPr>
              <w:spacing w:lineRule="auto" w:line="276" w:after="0"/>
            </w:pPr>
            <w:r/>
            <w:r>
              <w:rPr>
                <w:rFonts w:ascii="바탕" w:hAnsi="바탕" w:eastAsia="바탕"/>
                <w:b w:val="0"/>
                <w:sz w:val="19"/>
              </w:rPr>
              <w:t>[-0.0033, +0.0017]</w:t>
            </w:r>
          </w:p>
        </w:tc>
        <w:tc>
          <w:tcPr>
            <w:tcW w:type="dxa" w:w="1398"/>
          </w:tcPr>
          <w:p>
            <w:pPr>
              <w:spacing w:lineRule="auto" w:line="276" w:after="0"/>
            </w:pPr>
            <w:r/>
            <w:r>
              <w:rPr>
                <w:rFonts w:ascii="바탕" w:hAnsi="바탕" w:eastAsia="바탕"/>
                <w:b w:val="0"/>
                <w:sz w:val="19"/>
              </w:rPr>
              <w:t>0.61</w:t>
            </w:r>
          </w:p>
        </w:tc>
        <w:tc>
          <w:tcPr>
            <w:tcW w:type="dxa" w:w="1398"/>
          </w:tcPr>
          <w:p>
            <w:pPr>
              <w:spacing w:lineRule="auto" w:line="276" w:after="0"/>
            </w:pPr>
            <w:r/>
            <w:r>
              <w:rPr>
                <w:rFonts w:ascii="바탕" w:hAnsi="바탕" w:eastAsia="바탕"/>
                <w:b w:val="0"/>
                <w:sz w:val="19"/>
              </w:rPr>
              <w:t>-0.008</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L-DWA seed 42</w:t>
            </w:r>
          </w:p>
        </w:tc>
        <w:tc>
          <w:tcPr>
            <w:tcW w:type="dxa" w:w="1398"/>
          </w:tcPr>
          <w:p>
            <w:pPr>
              <w:spacing w:lineRule="auto" w:line="276" w:after="0"/>
            </w:pPr>
            <w:r/>
            <w:r>
              <w:rPr>
                <w:rFonts w:ascii="바탕" w:hAnsi="바탕" w:eastAsia="바탕"/>
                <w:b w:val="0"/>
                <w:sz w:val="19"/>
              </w:rPr>
              <w:t>+0.0033</w:t>
            </w:r>
          </w:p>
        </w:tc>
        <w:tc>
          <w:tcPr>
            <w:tcW w:type="dxa" w:w="1398"/>
          </w:tcPr>
          <w:p>
            <w:pPr>
              <w:spacing w:lineRule="auto" w:line="276" w:after="0"/>
            </w:pPr>
            <w:r/>
            <w:r>
              <w:rPr>
                <w:rFonts w:ascii="바탕" w:hAnsi="바탕" w:eastAsia="바탕"/>
                <w:b w:val="0"/>
                <w:sz w:val="19"/>
              </w:rPr>
              <w:t>[+0.0018, +0.0047]</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+0.063</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123</w:t>
            </w:r>
          </w:p>
        </w:tc>
        <w:tc>
          <w:tcPr>
            <w:tcW w:type="dxa" w:w="1398"/>
          </w:tcPr>
          <w:p>
            <w:pPr>
              <w:spacing w:lineRule="auto" w:line="276" w:after="0"/>
            </w:pPr>
            <w:r/>
            <w:r>
              <w:rPr>
                <w:rFonts w:ascii="바탕" w:hAnsi="바탕" w:eastAsia="바탕"/>
                <w:b w:val="0"/>
                <w:sz w:val="19"/>
              </w:rPr>
              <w:t>+0.0029</w:t>
            </w:r>
          </w:p>
        </w:tc>
        <w:tc>
          <w:tcPr>
            <w:tcW w:type="dxa" w:w="1398"/>
          </w:tcPr>
          <w:p>
            <w:pPr>
              <w:spacing w:lineRule="auto" w:line="276" w:after="0"/>
            </w:pPr>
            <w:r/>
            <w:r>
              <w:rPr>
                <w:rFonts w:ascii="바탕" w:hAnsi="바탕" w:eastAsia="바탕"/>
                <w:b w:val="0"/>
                <w:sz w:val="19"/>
              </w:rPr>
              <w:t>[+0.0012, +0.0048]</w:t>
            </w:r>
          </w:p>
        </w:tc>
        <w:tc>
          <w:tcPr>
            <w:tcW w:type="dxa" w:w="1398"/>
          </w:tcPr>
          <w:p>
            <w:pPr>
              <w:spacing w:lineRule="auto" w:line="276" w:after="0"/>
            </w:pPr>
            <w:r/>
            <w:r>
              <w:rPr>
                <w:rFonts w:ascii="바탕" w:hAnsi="바탕" w:eastAsia="바탕"/>
                <w:b w:val="0"/>
                <w:sz w:val="19"/>
              </w:rPr>
              <w:t>0.0024</w:t>
            </w:r>
          </w:p>
        </w:tc>
        <w:tc>
          <w:tcPr>
            <w:tcW w:type="dxa" w:w="1398"/>
          </w:tcPr>
          <w:p>
            <w:pPr>
              <w:spacing w:lineRule="auto" w:line="276" w:after="0"/>
            </w:pPr>
            <w:r/>
            <w:r>
              <w:rPr>
                <w:rFonts w:ascii="바탕" w:hAnsi="바탕" w:eastAsia="바탕"/>
                <w:b w:val="0"/>
                <w:sz w:val="19"/>
              </w:rPr>
              <w:t>+0.044</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999</w:t>
            </w:r>
          </w:p>
        </w:tc>
        <w:tc>
          <w:tcPr>
            <w:tcW w:type="dxa" w:w="1398"/>
          </w:tcPr>
          <w:p>
            <w:pPr>
              <w:spacing w:lineRule="auto" w:line="276" w:after="0"/>
            </w:pPr>
            <w:r/>
            <w:r>
              <w:rPr>
                <w:rFonts w:ascii="바탕" w:hAnsi="바탕" w:eastAsia="바탕"/>
                <w:b w:val="0"/>
                <w:sz w:val="19"/>
              </w:rPr>
              <w:t>+0.0011</w:t>
            </w:r>
          </w:p>
        </w:tc>
        <w:tc>
          <w:tcPr>
            <w:tcW w:type="dxa" w:w="1398"/>
          </w:tcPr>
          <w:p>
            <w:pPr>
              <w:spacing w:lineRule="auto" w:line="276" w:after="0"/>
            </w:pPr>
            <w:r/>
            <w:r>
              <w:rPr>
                <w:rFonts w:ascii="바탕" w:hAnsi="바탕" w:eastAsia="바탕"/>
                <w:b w:val="0"/>
                <w:sz w:val="19"/>
              </w:rPr>
              <w:t>[-0.0007, +0.0028]</w:t>
            </w:r>
          </w:p>
        </w:tc>
        <w:tc>
          <w:tcPr>
            <w:tcW w:type="dxa" w:w="1398"/>
          </w:tcPr>
          <w:p>
            <w:pPr>
              <w:spacing w:lineRule="auto" w:line="276" w:after="0"/>
            </w:pPr>
            <w:r/>
            <w:r>
              <w:rPr>
                <w:rFonts w:ascii="바탕" w:hAnsi="바탕" w:eastAsia="바탕"/>
                <w:b w:val="0"/>
                <w:sz w:val="19"/>
              </w:rPr>
              <w:t>0.21</w:t>
            </w:r>
          </w:p>
        </w:tc>
        <w:tc>
          <w:tcPr>
            <w:tcW w:type="dxa" w:w="1398"/>
          </w:tcPr>
          <w:p>
            <w:pPr>
              <w:spacing w:lineRule="auto" w:line="276" w:after="0"/>
            </w:pPr>
            <w:r/>
            <w:r>
              <w:rPr>
                <w:rFonts w:ascii="바탕" w:hAnsi="바탕" w:eastAsia="바탕"/>
                <w:b w:val="0"/>
                <w:sz w:val="19"/>
              </w:rPr>
              <w:t>+0.017</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+0.0379</w:t>
            </w:r>
          </w:p>
        </w:tc>
        <w:tc>
          <w:tcPr>
            <w:tcW w:type="dxa" w:w="1398"/>
          </w:tcPr>
          <w:p>
            <w:pPr>
              <w:spacing w:lineRule="auto" w:line="276" w:after="0"/>
            </w:pPr>
            <w:r/>
            <w:r>
              <w:rPr>
                <w:rFonts w:ascii="바탕" w:hAnsi="바탕" w:eastAsia="바탕"/>
                <w:b w:val="0"/>
                <w:sz w:val="19"/>
              </w:rPr>
              <w:t>[+0.0352, +0.0408]</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+0.379</w:t>
            </w:r>
          </w:p>
        </w:tc>
        <w:tc>
          <w:tcPr>
            <w:tcW w:type="dxa" w:w="1398"/>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주요 관찰</w:t>
      </w:r>
    </w:p>
    <w:p>
      <w:pPr>
        <w:spacing w:lineRule="auto" w:line="480" w:after="0"/>
      </w:pPr>
      <w:r>
        <w:rPr>
          <w:rFonts w:ascii="바탕" w:hAnsi="바탕" w:eastAsia="바탕"/>
          <w:b w:val="0"/>
          <w:sz w:val="21"/>
        </w:rPr>
        <w:t>첫째, L-DWA 3 seeds 모두 cache regime 에서 R-DWA 를 통계적으로 유의하게 능가한다 (Δ ≈ +0.014, p &lt; 1e-4 across all seeds). 이는 본 논문의 핵심 주장 — PPO 학습된 가중치 정책이 규칙 기반 baseline 을 통계적으로 압도한다 — 의 정량 근거이다. 효과 크기 d&lt;sub&gt;z&lt;/sub&gt; ≈ 0.15-0.17 은 small-medium 범위로, 5,000 표본의 좁은 신뢰구간이 0 을 포함하지 않는다.</w:t>
      </w:r>
    </w:p>
    <w:p>
      <w:pPr>
        <w:spacing w:lineRule="auto" w:line="480" w:after="0"/>
      </w:pPr>
      <w:r>
        <w:rPr>
          <w:rFonts w:ascii="바탕" w:hAnsi="바탕" w:eastAsia="바탕"/>
          <w:b w:val="0"/>
          <w:sz w:val="21"/>
        </w:rPr>
        <w:t>둘째, Cache regime 에서 Uniform 과 Vector-only 도 R-DWA 를 유의하게 능가한다 (Δ ≈ +0.011, p &lt; 1e-4). 이는 R-DWA 의 도메인-편향 기본 가중치 테이블 (α&lt;sub&gt;simple&lt;/sub&gt;=0.6, β&lt;sub&gt;multi_hop&lt;/sub&gt;=0.6, γ&lt;sub&gt;conditional&lt;/sub&gt;=0.6) 이 cache 평가 환경의 실제 보상 지형과 정렬되지 않음을 의미한다. 본 논문 RQ1 ("R-DWA 의 기본 가중치 테이블이 보상 지형과 정렬되어 있는가?") 에 대한 정량적 부정 답변에 해당한다.</w:t>
      </w:r>
    </w:p>
    <w:p>
      <w:pPr>
        <w:spacing w:lineRule="auto" w:line="480" w:after="0"/>
      </w:pPr>
      <w:r>
        <w:rPr>
          <w:rFonts w:ascii="바탕" w:hAnsi="바탕" w:eastAsia="바탕"/>
          <w:b w:val="0"/>
          <w:sz w:val="21"/>
        </w:rPr>
        <w:t>셋째, L-DWA 가 Uniform 을 능가하는 정도는 seed-dependent 이다 (표 6-2d). seed 42 (Δ=+0.0033, p&lt;1e-4) 와 seed 123 (Δ=+0.0029, p=0.0024) 에서는 통계적으로 유의하지만, seed 999 (Δ=+0.0011, CI [-0.0007, +0.0028]) 에서는 유의하지 않다. 효과 크기는 0.02–0.06 으로 작은 편이다. Cache regime 에서 L-DWA 의 Uniform 대비 우위는 작지만 평균적으로 양의 방향 이다 (3-seed 평균 Δ ≈ +0.0024). 이는 cache regime 의 절대 F1 값 (≈ 0.07-0.09) 자체가 sentence-prompt 한계로 압축되어 있어 정책 간 차이가 small-effect 으로 표시되는 구조적 특성에 기인하며, list-prompt regime (절대 F1 ≈ 0.53-0.56, §3 나) 에서의 Δ ≈ +0.033 (R-DWA → L-DWA) 와 정량적 일관성을 보인다.</w:t>
      </w:r>
    </w:p>
    <w:p>
      <w:pPr>
        <w:spacing w:lineRule="auto" w:line="480" w:after="0"/>
      </w:pPr>
      <w:r>
        <w:rPr>
          <w:rFonts w:ascii="바탕" w:hAnsi="바탕" w:eastAsia="바탕"/>
          <w:b w:val="0"/>
          <w:sz w:val="21"/>
        </w:rPr>
        <w:t>넷째, R-DWA 의 baseline 가치는 단일 소스 (Graph-only, Ontology-only) 회피에 있다. R-DWA vs Graph-only Δ = +0.028, vs Ontology-only Δ = +0.027 (p &lt; 1e-4). 즉 "R-DWA 가 단일 소스보다 분명히 낫다" 는 명제는 유지되지만, "R-DWA 가 균등 분배 (Uniform) 보다 분명히 낫다" 는 명제는 cache regime 에서 성립하지 않는다.</w:t>
      </w:r>
    </w:p>
    <w:p>
      <w:pPr>
        <w:pStyle w:val="Heading4"/>
        <w:spacing w:lineRule="auto" w:line="360" w:after="160"/>
      </w:pPr>
      <w:r>
        <w:rPr>
          <w:rFonts w:ascii="바탕" w:hAnsi="바탕" w:eastAsia="바탕"/>
          <w:b/>
          <w:sz w:val="24"/>
        </w:rPr>
        <w:t>해석상의 정직한 한계</w:t>
      </w:r>
    </w:p>
    <w:p>
      <w:pPr>
        <w:spacing w:lineRule="auto" w:line="480" w:after="0"/>
      </w:pPr>
      <w:r>
        <w:rPr>
          <w:rFonts w:ascii="바탕" w:hAnsi="바탕" w:eastAsia="바탕"/>
          <w:b w:val="0"/>
          <w:sz w:val="21"/>
        </w:rPr>
        <w:t>본 항의 paired bootstrap 은 cache evaluator (sentence prompt + 구두점 처리 이전 평가기) 위에서 산출되었다. 헤드라인 표 6-2 의 corrected baseline (list prompt + _PUNCT_RE 패치) 와는 평가 regime 이 다르다. 양 regime 에서 정책 간 순위가 동일하다는 것을 보장하기 위해서는 list-prompt regime 에서 동일한 paired bootstrap 을 추가로 실행할 필요가 있으며, 이는 §8 나에서 1순위 향후 연구로 명시한다. paired_bootstrap.py 스크립트와 cache regime 결과는 저장소에 함께 공개한다.</w:t>
      </w:r>
    </w:p>
    <w:p>
      <w:pPr>
        <w:pStyle w:val="Heading2"/>
        <w:spacing w:lineRule="auto" w:line="360" w:after="160"/>
      </w:pPr>
      <w:r>
        <w:rPr>
          <w:rFonts w:ascii="바탕" w:hAnsi="바탕" w:eastAsia="바탕"/>
          <w:b/>
          <w:sz w:val="24"/>
        </w:rPr>
        <w:t>4. 질의 유형별 세분 분석</w:t>
      </w:r>
    </w:p>
    <w:p>
      <w:pPr>
        <w:pStyle w:val="Heading3"/>
        <w:spacing w:lineRule="auto" w:line="360" w:after="160"/>
      </w:pPr>
      <w:r>
        <w:rPr>
          <w:rFonts w:ascii="바탕" w:hAnsi="바탕" w:eastAsia="바탕"/>
          <w:b/>
          <w:sz w:val="22"/>
        </w:rPr>
        <w:t>가.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pStyle w:val="Heading3"/>
        <w:spacing w:lineRule="auto" w:line="360" w:after="160"/>
      </w:pPr>
      <w:r>
        <w:rPr>
          <w:rFonts w:ascii="바탕" w:hAnsi="바탕" w:eastAsia="바탕"/>
          <w:b/>
          <w:sz w:val="22"/>
        </w:rPr>
        <w:t>나.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pStyle w:val="Heading3"/>
        <w:spacing w:lineRule="auto" w:line="360" w:after="160"/>
      </w:pPr>
      <w:r>
        <w:rPr>
          <w:rFonts w:ascii="바탕" w:hAnsi="바탕" w:eastAsia="바탕"/>
          <w:b/>
          <w:sz w:val="22"/>
        </w:rPr>
        <w:t>다.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pStyle w:val="Heading2"/>
        <w:spacing w:lineRule="auto" w:line="360" w:after="160"/>
      </w:pPr>
      <w:r>
        <w:rPr>
          <w:rFonts w:ascii="바탕" w:hAnsi="바탕" w:eastAsia="바탕"/>
          <w:b/>
          <w:sz w:val="24"/>
        </w:rPr>
        <w:t>5. PPO 학습 동역학</w:t>
      </w:r>
    </w:p>
    <w:p>
      <w:pPr>
        <w:pStyle w:val="Heading3"/>
        <w:spacing w:lineRule="auto" w:line="360" w:after="160"/>
      </w:pPr>
      <w:r>
        <w:rPr>
          <w:rFonts w:ascii="바탕" w:hAnsi="바탕" w:eastAsia="바탕"/>
          <w:b/>
          <w:sz w:val="22"/>
        </w:rPr>
        <w:t>가.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pStyle w:val="Heading3"/>
        <w:spacing w:lineRule="auto" w:line="360" w:after="160"/>
      </w:pPr>
      <w:r>
        <w:rPr>
          <w:rFonts w:ascii="바탕" w:hAnsi="바탕" w:eastAsia="바탕"/>
          <w:b/>
          <w:sz w:val="22"/>
        </w:rPr>
        <w:t>나.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pStyle w:val="Heading3"/>
        <w:spacing w:lineRule="auto" w:line="360" w:after="160"/>
      </w:pPr>
      <w:r>
        <w:rPr>
          <w:rFonts w:ascii="바탕" w:hAnsi="바탕" w:eastAsia="바탕"/>
          <w:b/>
          <w:sz w:val="22"/>
        </w:rPr>
        <w:t>다.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pStyle w:val="Heading2"/>
        <w:spacing w:lineRule="auto" w:line="360" w:after="160"/>
      </w:pPr>
      <w:r>
        <w:rPr>
          <w:rFonts w:ascii="바탕" w:hAnsi="바탕" w:eastAsia="바탕"/>
          <w:b/>
          <w:sz w:val="24"/>
        </w:rPr>
        <w:t>6.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pStyle w:val="Heading2"/>
        <w:spacing w:lineRule="auto" w:line="360" w:after="160"/>
      </w:pPr>
      <w:r>
        <w:rPr>
          <w:rFonts w:ascii="바탕" w:hAnsi="바탕" w:eastAsia="바탕"/>
          <w:b/>
          <w:sz w:val="24"/>
        </w:rPr>
        <w:t>7. 교차 도메인 실험</w:t>
      </w:r>
    </w:p>
    <w:p>
      <w:pPr>
        <w:pStyle w:val="Heading3"/>
        <w:spacing w:lineRule="auto" w:line="360" w:after="160"/>
      </w:pPr>
      <w:r>
        <w:rPr>
          <w:rFonts w:ascii="바탕" w:hAnsi="바탕" w:eastAsia="바탕"/>
          <w:b/>
          <w:sz w:val="22"/>
        </w:rPr>
        <w:t>가.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pStyle w:val="Heading3"/>
        <w:spacing w:lineRule="auto" w:line="360" w:after="160"/>
      </w:pPr>
      <w:r>
        <w:rPr>
          <w:rFonts w:ascii="바탕" w:hAnsi="바탕" w:eastAsia="바탕"/>
          <w:b/>
          <w:sz w:val="22"/>
        </w:rPr>
        <w:t>나. [표 6-8] 교차 도메인 결과</w:t>
      </w:r>
    </w:p>
    <w:p>
      <w:pPr>
        <w:pStyle w:val="Heading4"/>
        <w:spacing w:lineRule="auto" w:line="360" w:after="160"/>
      </w:pPr>
      <w:r>
        <w:rPr>
          <w:rFonts w:ascii="바탕" w:hAnsi="바탕" w:eastAsia="바탕"/>
          <w:b/>
          <w:sz w:val="24"/>
        </w:rPr>
        <w:t>a. 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pStyle w:val="Heading4"/>
        <w:spacing w:lineRule="auto" w:line="360" w:after="160"/>
      </w:pPr>
      <w:r>
        <w:rPr>
          <w:rFonts w:ascii="바탕" w:hAnsi="바탕" w:eastAsia="바탕"/>
          <w:b/>
          <w:sz w:val="24"/>
        </w:rPr>
        <w:t>b. 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pStyle w:val="Heading4"/>
        <w:spacing w:lineRule="auto" w:line="360" w:after="160"/>
      </w:pPr>
      <w:r>
        <w:rPr>
          <w:rFonts w:ascii="바탕" w:hAnsi="바탕" w:eastAsia="바탕"/>
          <w:b/>
          <w:sz w:val="24"/>
        </w:rPr>
        <w:t>c. 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pStyle w:val="Heading3"/>
        <w:spacing w:lineRule="auto" w:line="360" w:after="160"/>
      </w:pPr>
      <w:r>
        <w:rPr>
          <w:rFonts w:ascii="바탕" w:hAnsi="바탕" w:eastAsia="바탕"/>
          <w:b/>
          <w:sz w:val="22"/>
        </w:rPr>
        <w:t>다.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pStyle w:val="Heading3"/>
        <w:spacing w:lineRule="auto" w:line="360" w:after="160"/>
      </w:pPr>
      <w:r>
        <w:rPr>
          <w:rFonts w:ascii="바탕" w:hAnsi="바탕" w:eastAsia="바탕"/>
          <w:b/>
          <w:sz w:val="22"/>
        </w:rPr>
        <w:t>라.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F1&lt;sub&gt;strict&lt;/sub&gt;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pStyle w:val="Heading3"/>
        <w:spacing w:lineRule="auto" w:line="360" w:after="160"/>
      </w:pPr>
      <w:r>
        <w:rPr>
          <w:rFonts w:ascii="바탕" w:hAnsi="바탕" w:eastAsia="바탕"/>
          <w:b/>
          <w:sz w:val="22"/>
        </w:rPr>
        <w:t>마.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(한국어 intent)</w:t>
            </w:r>
          </w:p>
        </w:tc>
        <w:tc>
          <w:tcPr>
            <w:tcW w:type="dxa" w:w="2097"/>
          </w:tcPr>
          <w:p>
            <w:pPr>
              <w:spacing w:lineRule="auto" w:line="276" w:after="0"/>
            </w:pPr>
            <w:r/>
            <w:r>
              <w:rPr>
                <w:rFonts w:ascii="바탕" w:hAnsi="바탕" w:eastAsia="바탕"/>
                <w:b/>
                <w:sz w:val="19"/>
              </w:rPr>
              <w:t>F1&lt;sub&gt;strict&lt;/sub&gt;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pStyle w:val="Heading3"/>
        <w:spacing w:lineRule="auto" w:line="360" w:after="160"/>
      </w:pPr>
      <w:r>
        <w:rPr>
          <w:rFonts w:ascii="바탕" w:hAnsi="바탕" w:eastAsia="바탕"/>
          <w:b/>
          <w:sz w:val="22"/>
        </w:rPr>
        <w:t>바.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F1&lt;sub&gt;char&lt;/sub&gt;</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F1&lt;sub&gt;strict&lt;/sub&gt;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pStyle w:val="Heading3"/>
        <w:spacing w:lineRule="auto" w:line="360" w:after="160"/>
      </w:pPr>
      <w:r>
        <w:rPr>
          <w:rFonts w:ascii="바탕" w:hAnsi="바탕" w:eastAsia="바탕"/>
          <w:b/>
          <w:sz w:val="22"/>
        </w:rPr>
        <w:t>사.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F1&lt;sub&gt;strict&lt;/sub&gt;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9" name="Picture 9"/>
            <wp:cNvGraphicFramePr>
              <a:graphicFrameLocks noChangeAspect="1"/>
            </wp:cNvGraphicFramePr>
            <a:graphic>
              <a:graphicData uri="http://schemas.openxmlformats.org/drawingml/2006/picture">
                <pic:pic>
                  <pic:nvPicPr>
                    <pic:cNvPr id="0" name="fig6_5_cross_domain_radar.png"/>
                    <pic:cNvPicPr/>
                  </pic:nvPicPr>
                  <pic:blipFill>
                    <a:blip r:embed="rId17"/>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pStyle w:val="Heading3"/>
        <w:spacing w:lineRule="auto" w:line="360" w:after="160"/>
      </w:pPr>
      <w:r>
        <w:rPr>
          <w:rFonts w:ascii="바탕" w:hAnsi="바탕" w:eastAsia="바탕"/>
          <w:b/>
          <w:sz w:val="22"/>
        </w:rPr>
        <w:t>아.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 도메인 어휘 차이는 영어 동일 스키마를 구축해 보면 오히려 영어 쪽에서 R-DWA 가 더 잘 작동함이 확인된다 (§7.6). 반면 그래프·온톨로지가 없는 벤치마크에서는 재학습도 효과가 없다 (§7.4). 그리고 L-DWA 가 유의미하게 작동하려면 질의를 구분해 줄 수 있는 state 가 필요하다는 점이 영어 L-DWA 실험에서 분명해졌다 (§7.7).</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 의 향후 연구 과제로 정리한다.</w:t>
      </w:r>
    </w:p>
    <w:p>
      <w:pPr>
        <w:pStyle w:val="Heading2"/>
        <w:spacing w:lineRule="auto" w:line="360" w:after="160"/>
      </w:pPr>
      <w:r>
        <w:rPr>
          <w:rFonts w:ascii="바탕" w:hAnsi="바탕" w:eastAsia="바탕"/>
          <w:b/>
          <w:sz w:val="24"/>
        </w:rPr>
        <w:t>8. 한계 및 향후 연구</w:t>
      </w:r>
    </w:p>
    <w:p>
      <w:pPr>
        <w:pStyle w:val="Heading3"/>
        <w:spacing w:lineRule="auto" w:line="360" w:after="160"/>
      </w:pPr>
      <w:r>
        <w:rPr>
          <w:rFonts w:ascii="바탕" w:hAnsi="바탕" w:eastAsia="바탕"/>
          <w:b/>
          <w:sz w:val="22"/>
        </w:rPr>
        <w:t>가.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pStyle w:val="Heading3"/>
        <w:spacing w:lineRule="auto" w:line="360" w:after="160"/>
      </w:pPr>
      <w:r>
        <w:rPr>
          <w:rFonts w:ascii="바탕" w:hAnsi="바탕" w:eastAsia="바탕"/>
          <w:b/>
          <w:sz w:val="22"/>
        </w:rPr>
        <w:t>나. 향후 연구 방향</w:t>
      </w:r>
    </w:p>
    <w:p>
      <w:pPr>
        <w:pStyle w:val="ListNumber"/>
        <w:spacing w:lineRule="auto" w:line="360" w:after="0"/>
      </w:pPr>
      <w:r>
        <w:rPr>
          <w:rFonts w:ascii="바탕" w:hAnsi="바탕" w:eastAsia="바탕"/>
          <w:b w:val="0"/>
          <w:sz w:val="21"/>
        </w:rPr>
        <w:t>List-prompt regime 에서 Uniform paired bootstrap: 본 논문의 헤드라인 표 6-2 (§3 나) 는 list-prompt regime 에서 R-DWA / L-DWA / Oracle 를 비교하지만, Uniform (1/3, 1/3, 1/3) 의 list-prompt 측정은 포함되지 않았다. Cache regime (§3 아 표 6-2c, 6-2d) 에서 Uniform 이 R-DWA 를 유의하게 능가하고 L-DWA 가 Uniform 을 부분적으로 (seed 42/123) 능가함을 확인한 만큼, list-prompt regime 에서도 동일한 비교가 필요하다. 5,000 QA × 약 $1 규모의 추가 LLM 호출로 즉시 수행 가능. 본 비교는 evaluate_rerun.py 의 per-query 결과 저장 옵션을 5,000 전수로 확장하여 paired bootstrap 까지 일관되게 수행한다.</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pStyle w:val="Heading2"/>
        <w:spacing w:lineRule="auto" w:line="360" w:after="160"/>
      </w:pPr>
      <w:r>
        <w:rPr>
          <w:rFonts w:ascii="바탕" w:hAnsi="바탕" w:eastAsia="바탕"/>
          <w:b/>
          <w:sz w:val="24"/>
        </w:rPr>
        <w:t>9.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Corrected baseline (list prompt) 위에서 L-DWA 가 R-DWA 대비 F1&lt;sub&gt;strict&lt;/sub&gt; +6.2%, F1&lt;sub&gt;substring&lt;/sub&gt; +5.2%, F1&lt;sub&gt;char&lt;/sub&gt; +5.3%, Faithfulness +6.6% 의 정량 개선을 달성 (모두 3-seed 평균 기준).</w:t>
      </w:r>
    </w:p>
    <w:p>
      <w:pPr>
        <w:pStyle w:val="ListBullet"/>
        <w:spacing w:lineRule="auto" w:line="360" w:after="0"/>
      </w:pPr>
      <w:r>
        <w:rPr>
          <w:rFonts w:ascii="바탕" w:hAnsi="바탕" w:eastAsia="바탕"/>
          <w:b w:val="0"/>
          <w:sz w:val="21"/>
        </w:rPr>
        <w:t>L-DWA 가 5개 지표 중 4개 (F1&lt;sub&gt;strict&lt;/sub&gt;, F1&lt;sub&gt;substring&lt;/sub&gt;, F1&lt;sub&gt;char&lt;/sub&gt;, Faithfulness) 에서 per-query argmax Oracle 을 초과. 연속 Dirichlet 평균이 66-점 이산 격자 외부의 공간을 활용하는 것으로 해석.</w:t>
      </w:r>
    </w:p>
    <w:p>
      <w:pPr>
        <w:pStyle w:val="ListBullet"/>
        <w:spacing w:lineRule="auto" w:line="360" w:after="0"/>
      </w:pPr>
      <w:r>
        <w:rPr>
          <w:rFonts w:ascii="바탕" w:hAnsi="바탕" w:eastAsia="바탕"/>
          <w:b w:val="0"/>
          <w:sz w:val="21"/>
        </w:rPr>
        <w:t>Conditional 질의에서 F1&lt;sub&gt;strict&lt;/sub&gt; +27.8% (R-DWA 0.223 → L-DWA 0.285) 로 본 논문의 가장 강력한 per-type 증거. Oracle 0.290 과 동등 수준.</w:t>
      </w:r>
    </w:p>
    <w:p>
      <w:pPr>
        <w:pStyle w:val="ListBullet"/>
        <w:spacing w:lineRule="auto" w:line="360" w:after="0"/>
      </w:pPr>
      <w:r>
        <w:rPr>
          <w:rFonts w:ascii="바탕" w:hAnsi="바탕" w:eastAsia="바탕"/>
          <w:b w:val="0"/>
          <w:sz w:val="21"/>
        </w:rPr>
        <w:t>Paired bootstrap (BCa 95% CI, 5,000 resamples) 결과 L-DWA 3 seeds 모두 R-DWA 를 유의하게 능가 (Δ ≈ +0.014, p &lt; 1e-4 across all seeds; §3 아 표 6-2c).</w:t>
      </w:r>
    </w:p>
    <w:p>
      <w:pPr>
        <w:pStyle w:val="ListBullet"/>
        <w:spacing w:lineRule="auto" w:line="360" w:after="0"/>
      </w:pPr>
      <w:r>
        <w:rPr>
          <w:rFonts w:ascii="바탕" w:hAnsi="바탕" w:eastAsia="바탕"/>
          <w:b w:val="0"/>
          <w:sz w:val="21"/>
        </w:rPr>
        <w:t>3-seed 표준편차 0.007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pStyle w:val="Heading1"/>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§8 정성 분석의 보충.</w:t>
      </w:r>
    </w:p>
    <w:p>
      <w:pPr>
        <w:spacing w:lineRule="auto" w:line="360" w:after="0"/>
        <w:ind w:left="567"/>
      </w:pPr>
      <w:r>
        <w:rPr>
          <w:rFonts w:ascii="바탕" w:hAnsi="바탕" w:eastAsia="바탕"/>
          <w:b w:val="0"/>
          <w:sz w:val="20"/>
        </w:rPr>
        <w:t>▸ 작성 원칙: 동일 질의·동일 retrieval 위에서 서로 다른 정책이 어떤 결정과 응답을 내는지 관찰하고, 그 관찰이 본문의 어떤 주장과 맞닿아 있는지 간단히 짚어 둔다. List-prompt 효과는 CS-7 (별도 파일) 에 따로 다룬다.</w:t>
      </w:r>
    </w:p>
    <w:p>
      <w:pPr>
        <w:pStyle w:val="Heading2"/>
        <w:spacing w:lineRule="auto" w:line="360" w:after="160"/>
      </w:pPr>
      <w:r>
        <w:rPr>
          <w:rFonts w:ascii="바탕" w:hAnsi="바탕" w:eastAsia="바탕"/>
          <w:b/>
          <w:sz w:val="24"/>
        </w:rPr>
        <w:t>CS-1. Simple 질의에서의 정책 간 수렴</w:t>
      </w:r>
    </w:p>
    <w:p>
      <w:pPr>
        <w:spacing w:lineRule="auto" w:line="480" w:after="0"/>
      </w:pPr>
      <w:r>
        <w:rPr>
          <w:rFonts w:ascii="바탕" w:hAnsi="바탕" w:eastAsia="바탕"/>
          <w:b w:val="0"/>
          <w:sz w:val="21"/>
        </w:rPr>
        <w:t>질의: "최재원 교수의 소속 학과는?", gold: 바이오의공학과. 단순 유형에 속하는 질의이다.</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세 정책 모두 정답을 맞췄지만, 고른 가중치는 제각각이다. R-DWA 는 query_type 규칙에 따른 몇 개의 고정점만 돌려 쓰고, L-DWA 는 연속 Dirichlet 평균으로 매 질의마다 약간씩 다른 값을 내며, Oracle 은 66-점 격자에서 전수 argmax 로 정한다. 그림 6-3 의 분포를 보면 Oracle 이 Ontology 쪽으로 편향되어 있는 것이 두드러진다.</w:t>
      </w:r>
    </w:p>
    <w:p>
      <w:pPr>
        <w:spacing w:lineRule="auto" w:line="480" w:after="0"/>
      </w:pPr>
      <w:r>
        <w:rPr>
          <w:rFonts w:ascii="바탕" w:hAnsi="바탕" w:eastAsia="바탕"/>
          <w:b w:val="0"/>
          <w:sz w:val="21"/>
        </w:rPr>
        <w:t>Simple 서브셋 전체 (n=2,000) 에서 L-DWA F1&lt;sub&gt;strict&lt;/sub&gt; 는 0.906 으로 R-DWA 0.874 와 Oracle 0.901 을 근소하게 앞선다. 이 유형에서 대부분의 정책이 1.0 에 수렴하는 "쉬운 영역" 이 넓기 때문에, L-DWA 가 Oracle 의 96% 에 도달하는 전체 평균은 상당 부분 Simple 유형의 기여로 설명된다.</w:t>
      </w:r>
    </w:p>
    <w:p>
      <w:pPr>
        <w:pStyle w:val="Heading2"/>
        <w:spacing w:lineRule="auto" w:line="360" w:after="160"/>
      </w:pPr>
      <w:r>
        <w:rPr>
          <w:rFonts w:ascii="바탕" w:hAnsi="바탕" w:eastAsia="바탕"/>
          <w:b/>
          <w:sz w:val="24"/>
        </w:rPr>
        <w:t>CS-2. Multi-hop 에서의 부분 회수</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R-DWA 와 L-DWA 가 똑같이 한 엔티티만 언급하고 있다. Oracle 만이 두 엔티티를 모두 열거한다. Multi-hop 집계 (n=1,750) 에서 L-DWA F1&lt;sub&gt;strict&lt;/sub&gt; 0.365 는 R-DWA 0.354 대비 3.1% 차이에 그치며, 이 유형이 본 연구의 가장 약한 영역임을 보여 준다. 18차원 state 가 질의의 다단계 hop 구조를 충분히 인코딩하지 못한다는 해석이 자연스럽고, Ch.Ⅶ 는 이를 multi-turn state 나 graph-path encoder 로 확장하는 방향을 향후 과제로 적어 두었다.</w:t>
      </w:r>
    </w:p>
    <w:p>
      <w:pPr>
        <w:pStyle w:val="Heading2"/>
        <w:spacing w:lineRule="auto" w:line="360" w:after="160"/>
      </w:pPr>
      <w:r>
        <w:rPr>
          <w:rFonts w:ascii="바탕" w:hAnsi="바탕" w:eastAsia="바탕"/>
          <w:b/>
          <w:sz w:val="24"/>
        </w:rPr>
        <w:t>CS-3. Conditional 에서의 개선과 한계가 공존하는 경우</w:t>
      </w:r>
    </w:p>
    <w:p>
      <w:pPr>
        <w:spacing w:lineRule="auto" w:line="480" w:after="0"/>
      </w:pPr>
      <w:r>
        <w:rPr>
          <w:rFonts w:ascii="바탕" w:hAnsi="바탕" w:eastAsia="바탕"/>
          <w:b w:val="0"/>
          <w:sz w:val="21"/>
        </w:rPr>
        <w:t>질의: "기계공학과 소속 55세 이하 교수는?", gold: 9명 (유서준, 전서준, ...).</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(0.2, 0.2, 0.6)</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(0.1, 0.1, 0.8)</w:t>
            </w:r>
          </w:p>
        </w:tc>
        <w:tc>
          <w:tcPr>
            <w:tcW w:type="dxa" w:w="1678"/>
          </w:tcPr>
          <w:p>
            <w:pPr>
              <w:spacing w:lineRule="auto" w:line="276" w:after="0"/>
            </w:pPr>
            <w:r/>
            <w:r>
              <w:rPr>
                <w:rFonts w:ascii="바탕" w:hAnsi="바탕" w:eastAsia="바탕"/>
                <w:b w:val="0"/>
                <w:sz w:val="19"/>
              </w:rPr>
              <w:t>9명 전부 열거</w:t>
            </w:r>
          </w:p>
        </w:tc>
        <w:tc>
          <w:tcPr>
            <w:tcW w:type="dxa" w:w="1678"/>
          </w:tcPr>
          <w:p>
            <w:pPr>
              <w:spacing w:lineRule="auto" w:line="276" w:after="0"/>
            </w:pPr>
            <w:r/>
            <w:r>
              <w:rPr>
                <w:rFonts w:ascii="바탕" w:hAnsi="바탕" w:eastAsia="바탕"/>
                <w:b w:val="0"/>
                <w:sz w:val="19"/>
              </w:rPr>
              <w:t>9/9</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이 개별 질의에서는 세 정책 모두 "55세 이하" 조건을 처리하지 못하고 존재하지 않는 이름을 출력한다. 주목할 점은 이런 개별 실패에도 불구하고 conditional 유형 집계 (n=1,250) 에서의 그림이 달라진다는 것이다.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정책</w:t>
            </w:r>
          </w:p>
        </w:tc>
        <w:tc>
          <w:tcPr>
            <w:tcW w:type="dxa" w:w="4195"/>
          </w:tcPr>
          <w:p>
            <w:pPr>
              <w:spacing w:lineRule="auto" w:line="276" w:after="0"/>
            </w:pPr>
            <w:r/>
            <w:r>
              <w:rPr>
                <w:rFonts w:ascii="바탕" w:hAnsi="바탕" w:eastAsia="바탕"/>
                <w:b/>
                <w:sz w:val="19"/>
              </w:rPr>
              <w:t>F1&lt;sub&gt;strict&lt;/sub&gt; (conditional)</w:t>
            </w:r>
          </w:p>
        </w:tc>
      </w:tr>
      <w:tr>
        <w:tc>
          <w:tcPr>
            <w:tcW w:type="dxa" w:w="4195"/>
          </w:tcPr>
          <w:p>
            <w:pPr>
              <w:spacing w:lineRule="auto" w:line="276" w:after="0"/>
            </w:pPr>
            <w:r/>
            <w:r>
              <w:rPr>
                <w:rFonts w:ascii="바탕" w:hAnsi="바탕" w:eastAsia="바탕"/>
                <w:b w:val="0"/>
                <w:sz w:val="19"/>
              </w:rPr>
              <w:t>R-DWA</w:t>
            </w:r>
          </w:p>
        </w:tc>
        <w:tc>
          <w:tcPr>
            <w:tcW w:type="dxa" w:w="4195"/>
          </w:tcPr>
          <w:p>
            <w:pPr>
              <w:spacing w:lineRule="auto" w:line="276" w:after="0"/>
            </w:pPr>
            <w:r/>
            <w:r>
              <w:rPr>
                <w:rFonts w:ascii="바탕" w:hAnsi="바탕" w:eastAsia="바탕"/>
                <w:b w:val="0"/>
                <w:sz w:val="19"/>
              </w:rPr>
              <w:t>0.223</w:t>
            </w:r>
          </w:p>
        </w:tc>
      </w:tr>
      <w:tr>
        <w:tc>
          <w:tcPr>
            <w:tcW w:type="dxa" w:w="4195"/>
          </w:tcPr>
          <w:p>
            <w:pPr>
              <w:spacing w:lineRule="auto" w:line="276" w:after="0"/>
            </w:pPr>
            <w:r/>
            <w:r>
              <w:rPr>
                <w:rFonts w:ascii="바탕" w:hAnsi="바탕" w:eastAsia="바탕"/>
                <w:b w:val="0"/>
                <w:sz w:val="19"/>
              </w:rPr>
              <w:t>L-DWA</w:t>
            </w:r>
          </w:p>
        </w:tc>
        <w:tc>
          <w:tcPr>
            <w:tcW w:type="dxa" w:w="4195"/>
          </w:tcPr>
          <w:p>
            <w:pPr>
              <w:spacing w:lineRule="auto" w:line="276" w:after="0"/>
            </w:pPr>
            <w:r/>
            <w:r>
              <w:rPr>
                <w:rFonts w:ascii="바탕" w:hAnsi="바탕" w:eastAsia="바탕"/>
                <w:b w:val="0"/>
                <w:sz w:val="19"/>
              </w:rPr>
              <w:t>0.304 (R-DWA 대비 +36.7%)</w:t>
            </w:r>
          </w:p>
        </w:tc>
      </w:tr>
      <w:tr>
        <w:tc>
          <w:tcPr>
            <w:tcW w:type="dxa" w:w="4195"/>
          </w:tcPr>
          <w:p>
            <w:pPr>
              <w:spacing w:lineRule="auto" w:line="276" w:after="0"/>
            </w:pPr>
            <w:r/>
            <w:r>
              <w:rPr>
                <w:rFonts w:ascii="바탕" w:hAnsi="바탕" w:eastAsia="바탕"/>
                <w:b w:val="0"/>
                <w:sz w:val="19"/>
              </w:rPr>
              <w:t>Oracle</w:t>
            </w:r>
          </w:p>
        </w:tc>
        <w:tc>
          <w:tcPr>
            <w:tcW w:type="dxa" w:w="4195"/>
          </w:tcPr>
          <w:p>
            <w:pPr>
              <w:spacing w:lineRule="auto" w:line="276" w:after="0"/>
            </w:pPr>
            <w:r/>
            <w:r>
              <w:rPr>
                <w:rFonts w:ascii="바탕" w:hAnsi="바탕" w:eastAsia="바탕"/>
                <w:b w:val="0"/>
                <w:sz w:val="19"/>
              </w:rPr>
              <w:t>0.290</w:t>
            </w:r>
          </w:p>
        </w:tc>
      </w:tr>
    </w:tbl>
    <w:p>
      <w:pPr>
        <w:spacing w:lineRule="auto" w:line="480" w:after="0"/>
      </w:pPr>
      <w:r>
        <w:rPr>
          <w:rFonts w:ascii="바탕" w:hAnsi="바탕" w:eastAsia="바탕"/>
          <w:b w:val="0"/>
          <w:sz w:val="21"/>
        </w:rPr>
        <w:t>이 구간에서는 L-DWA 가 Oracle 도 미세하게 넘어선다 (0.304 대 0.290). 조건 제약 처리가 성공하는 질의들이 충분히 분포해 있고, L-DWA 의 연속 가중치가 66-점 격자가 닿지 못하는 지점을 활용하고 있다고 볼 수 있다. 본 연구의 가장 뚜렷한 유형별 개선 지점이 이 영역이다.</w:t>
      </w:r>
    </w:p>
    <w:p>
      <w:pPr>
        <w:pStyle w:val="Heading2"/>
        <w:spacing w:lineRule="auto" w:line="360" w:after="160"/>
      </w:pPr>
      <w:r>
        <w:rPr>
          <w:rFonts w:ascii="바탕" w:hAnsi="바탕" w:eastAsia="바탕"/>
          <w:b/>
          <w:sz w:val="24"/>
        </w:rPr>
        <w:t>CS-4. 환각이 노출되는 사례 — Faithfulness 2-분기의 역할</w:t>
      </w:r>
    </w:p>
    <w:p>
      <w:pPr>
        <w:spacing w:lineRule="auto" w:line="480" w:after="0"/>
      </w:pPr>
      <w:r>
        <w:rPr>
          <w:rFonts w:ascii="바탕" w:hAnsi="바탕" w:eastAsia="바탕"/>
          <w:b w:val="0"/>
          <w:sz w:val="21"/>
        </w:rPr>
        <w:t>질의: "소프트웨어공학과 소속 55세 이하 교수는?", gold: 4명 (윤민준, 장민준, 황민준, 안민준).</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 item)</w:t>
            </w:r>
          </w:p>
        </w:tc>
        <w:tc>
          <w:tcPr>
            <w:tcW w:type="dxa" w:w="1678"/>
          </w:tcPr>
          <w:p>
            <w:pPr>
              <w:spacing w:lineRule="auto" w:line="276" w:after="0"/>
            </w:pPr>
            <w:r/>
            <w:r>
              <w:rPr>
                <w:rFonts w:ascii="바탕" w:hAnsi="바탕" w:eastAsia="바탕"/>
                <w:b/>
                <w:sz w:val="19"/>
              </w:rPr>
              <w:t>문장형 Faith</w:t>
            </w:r>
          </w:p>
        </w:tc>
        <w:tc>
          <w:tcPr>
            <w:tcW w:type="dxa" w:w="1678"/>
          </w:tcPr>
          <w:p>
            <w:pPr>
              <w:spacing w:lineRule="auto" w:line="276" w:after="0"/>
            </w:pPr>
            <w:r/>
            <w:r>
              <w:rPr>
                <w:rFonts w:ascii="바탕" w:hAnsi="바탕" w:eastAsia="바탕"/>
                <w:b/>
                <w:sz w:val="19"/>
              </w:rPr>
              <w:t>리스트형 Faith</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5줄짜리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(과대평가)</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같은 retrieval 결과에서 sentence 형식은 "교수", "담당" 같은 filler 토큰이 컨텍스트에 많이 포함되어 있어 any-token 검증을 통과한다. 리스트 형식에서는 각 이름이 컨텍스트에 실제로 등장하는지를 개별 확인하므로 안서준의 환각이 즉시 드러난다. 평가기 수준에서 보면 이 사례는 단순한 점수 차이가 아니라, 환각을 탐지할 수 있는 해상도의 차이를 보여 준다. §Ⅵ.1.4 의 평가 인프라 정비가 단순한 편의 개선이 아님을 구체적으로 보여 주는 예이기도 하다.</w:t>
      </w:r>
    </w:p>
    <w:p>
      <w:pPr>
        <w:pStyle w:val="Heading2"/>
        <w:spacing w:lineRule="auto" w:line="360" w:after="160"/>
      </w:pPr>
      <w:r>
        <w:rPr>
          <w:rFonts w:ascii="바탕" w:hAnsi="바탕" w:eastAsia="바탕"/>
          <w:b/>
          <w:sz w:val="24"/>
        </w:rPr>
        <w:t>CS-5. Oracle 조차 벽에 부딪히는 사례</w:t>
      </w:r>
    </w:p>
    <w:p>
      <w:pPr>
        <w:spacing w:lineRule="auto" w:line="480" w:after="0"/>
      </w:pPr>
      <w:r>
        <w:rPr>
          <w:rFonts w:ascii="바탕" w:hAnsi="바탕" w:eastAsia="바탕"/>
          <w:b w:val="0"/>
          <w:sz w:val="21"/>
        </w:rPr>
        <w:t>질의: "무용학과 소속 40세 이하 교수의 연구 분야는?", gold: 12개 예술 분야 (오디오엔지니어링, 영상편집, 연기지도, ...).</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응답</w:t>
            </w:r>
          </w:p>
        </w:tc>
        <w:tc>
          <w:tcPr>
            <w:tcW w:type="dxa" w:w="2797"/>
          </w:tcPr>
          <w:p>
            <w:pPr>
              <w:spacing w:lineRule="auto" w:line="276" w:after="0"/>
            </w:pPr>
            <w:r/>
            <w:r>
              <w:rPr>
                <w:rFonts w:ascii="바탕" w:hAnsi="바탕" w:eastAsia="바탕"/>
                <w:b/>
                <w:sz w:val="19"/>
              </w:rPr>
              <w:t>F1&lt;sub&gt;strict&lt;/sub&gt;</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오디오엔지니어링, 영상편집 (2/12)</w:t>
            </w:r>
          </w:p>
        </w:tc>
        <w:tc>
          <w:tcPr>
            <w:tcW w:type="dxa" w:w="27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이 질의는 retrieval 자체가 정답 대부분을 포함하지 못한 경우이다. R-DWA 와 L-DWA 는 회피로 답하였고, Oracle 조차 두 분야만 회수하였다. 어떤 가중치 조합을 선택하든 컨텍스트에 없는 정보는 만들어 낼 수 없다는 단순한 사실이 드러나는 사례로, L-DWA 가 Oracle 의 96% 에 도달하더라도 남은 4% 는 이런 retrieval-bound 질의들의 누적이라는 해석이 뒤따른다. Ch.Ⅶ 은 retrieval 품질 개선을 후속 과제의 첫 번째 축으로 적어 두었다.</w:t>
      </w:r>
    </w:p>
    <w:p>
      <w:pPr>
        <w:pStyle w:val="Heading2"/>
        <w:spacing w:lineRule="auto" w:line="360" w:after="160"/>
      </w:pPr>
      <w:r>
        <w:rPr>
          <w:rFonts w:ascii="바탕" w:hAnsi="바탕" w:eastAsia="바탕"/>
          <w:b/>
          <w:sz w:val="24"/>
        </w:rPr>
        <w:t>CS-6. 교차 도메인에서의 퇴행</w:t>
      </w:r>
    </w:p>
    <w:p>
      <w:pPr>
        <w:spacing w:lineRule="auto" w:line="480" w:after="0"/>
      </w:pPr>
      <w:r>
        <w:rPr>
          <w:rFonts w:ascii="바탕" w:hAnsi="바탕" w:eastAsia="바탕"/>
          <w:b w:val="0"/>
          <w:sz w:val="21"/>
        </w:rPr>
        <w:t>질의 (영문): "Which magazine was started first, Arthur's Magazine or First for Women?", gold: Arthur's Magazine.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한국어 정규식 기반 intent 분석기는 이 영문 질의에서 모든 density 를 0 으로 반환한다. 18차원 state 가 사실상 일정한 값을 가지게 되고, L-DWA 의 학습된 policy 는 학습 분포 바깥에서 작동하게 되어 Vector-only 수준으로 퇴행하거나 그 아래로 내려간다. 이 결과는 L-DWA 의 이점이 질의 간에 구분되는 state 를 전제로 한다는 사실을 분명히 한다. Ch.6 §7.5 에서 다룬 영어 intent 패턴 추가 실험이 이 관찰의 직접적인 검증이며, §7.6–§7.7 의 영어 합성 벤치마크 실험은 언어가 아니라 state 품질이 본질이라는 점을 추가로 확인해 준다.</w:t>
      </w:r>
    </w:p>
    <w:p>
      <w:pPr>
        <w:pStyle w:val="Heading2"/>
        <w:spacing w:lineRule="auto" w:line="360" w:after="160"/>
      </w:pPr>
      <w:r>
        <w:rPr>
          <w:rFonts w:ascii="바탕" w:hAnsi="바탕" w:eastAsia="바탕"/>
          <w:b/>
          <w:sz w:val="24"/>
        </w:rPr>
        <w:t>종합</w:t>
      </w:r>
    </w:p>
    <w:p>
      <w:pPr>
        <w:spacing w:lineRule="auto" w:line="480" w:after="0"/>
      </w:pPr>
      <w:r>
        <w:rPr>
          <w:rFonts w:ascii="바탕" w:hAnsi="바탕" w:eastAsia="바탕"/>
          <w:b w:val="0"/>
          <w:sz w:val="21"/>
        </w:rPr>
        <w:t>여섯 사례는 L-DWA 가 잘 작동하는 영역, 한계 영역, 그리고 평가 인프라가 드러내는 것을 각각 예시한다. 정리하면 다음과 같다.</w:t>
      </w:r>
    </w:p>
    <w:p>
      <w:pPr>
        <w:pStyle w:val="ListBullet"/>
        <w:spacing w:lineRule="auto" w:line="360" w:after="0"/>
      </w:pPr>
      <w:r>
        <w:rPr>
          <w:rFonts w:ascii="바탕" w:hAnsi="바탕" w:eastAsia="바탕"/>
          <w:b w:val="0"/>
          <w:sz w:val="21"/>
        </w:rPr>
        <w:t>Simple (CS-1) — 세 정책 모두 잘 작동하는 영역에서 L-DWA 가 근소 우위.</w:t>
      </w:r>
    </w:p>
    <w:p>
      <w:pPr>
        <w:pStyle w:val="ListBullet"/>
        <w:spacing w:lineRule="auto" w:line="360" w:after="0"/>
      </w:pPr>
      <w:r>
        <w:rPr>
          <w:rFonts w:ascii="바탕" w:hAnsi="바탕" w:eastAsia="바탕"/>
          <w:b w:val="0"/>
          <w:sz w:val="21"/>
        </w:rPr>
        <w:t>Multi-hop (CS-2) — 상태 표현의 한계가 드러나는 지점.</w:t>
      </w:r>
    </w:p>
    <w:p>
      <w:pPr>
        <w:pStyle w:val="ListBullet"/>
        <w:spacing w:lineRule="auto" w:line="360" w:after="0"/>
      </w:pPr>
      <w:r>
        <w:rPr>
          <w:rFonts w:ascii="바탕" w:hAnsi="바탕" w:eastAsia="바탕"/>
          <w:b w:val="0"/>
          <w:sz w:val="21"/>
        </w:rPr>
        <w:t>Conditional (CS-3) — 유형별 개선 폭이 가장 큰 영역, L-DWA 가 Oracle 과 견주거나 넘어섬.</w:t>
      </w:r>
    </w:p>
    <w:p>
      <w:pPr>
        <w:pStyle w:val="ListBullet"/>
        <w:spacing w:lineRule="auto" w:line="360" w:after="0"/>
      </w:pPr>
      <w:r>
        <w:rPr>
          <w:rFonts w:ascii="바탕" w:hAnsi="바탕" w:eastAsia="바탕"/>
          <w:b w:val="0"/>
          <w:sz w:val="21"/>
        </w:rPr>
        <w:t>Faithfulness (CS-4) — 평가기 2-분기 설계가 실제 환각 탐지에 기여함을 보이는 사례.</w:t>
      </w:r>
    </w:p>
    <w:p>
      <w:pPr>
        <w:pStyle w:val="ListBullet"/>
        <w:spacing w:lineRule="auto" w:line="360" w:after="0"/>
      </w:pPr>
      <w:r>
        <w:rPr>
          <w:rFonts w:ascii="바탕" w:hAnsi="바탕" w:eastAsia="바탕"/>
          <w:b w:val="0"/>
          <w:sz w:val="21"/>
        </w:rPr>
        <w:t>Hard conditional (CS-5) — retrieval 자체가 상한을 정하는 상황.</w:t>
      </w:r>
    </w:p>
    <w:p>
      <w:pPr>
        <w:pStyle w:val="ListBullet"/>
        <w:spacing w:lineRule="auto" w:line="360" w:after="0"/>
      </w:pPr>
      <w:r>
        <w:rPr>
          <w:rFonts w:ascii="바탕" w:hAnsi="바탕" w:eastAsia="바탕"/>
          <w:b w:val="0"/>
          <w:sz w:val="21"/>
        </w:rPr>
        <w:t>Cross-domain (CS-6) — state 품질 부재가 학습형 정책의 가치를 무력화.</w:t>
      </w:r>
    </w:p>
    <w:p>
      <w:pPr>
        <w:spacing w:lineRule="auto" w:line="480" w:after="0"/>
      </w:pPr>
      <w:r>
        <w:rPr>
          <w:rFonts w:ascii="바탕" w:hAnsi="바탕" w:eastAsia="바탕"/>
          <w:b w:val="0"/>
          <w:sz w:val="21"/>
        </w:rPr>
        <w:t>CS-7 (별도 파일) 은 list prompt 의 효과를 질의-응답 한 쌍 단위로 보여 주며, 위 여섯 사례와 함께 정성적 증거의 묶음을 이룬다.</w:t>
      </w:r>
    </w:p>
    <w:p>
      <w:pPr>
        <w:pStyle w:val="Heading1"/>
        <w:spacing w:lineRule="auto" w:line="360" w:after="160"/>
        <w:jc w:val="center"/>
      </w:pPr>
      <w:r>
        <w:rPr>
          <w:rFonts w:ascii="바탕" w:hAnsi="바탕" w:eastAsia="바탕"/>
          <w:b/>
          <w:sz w:val="28"/>
        </w:rPr>
        <w:t>CS-7. List 프롬프트 효과 케이스 스터디</w:t>
      </w:r>
    </w:p>
    <w:p>
      <w:pPr>
        <w:spacing w:lineRule="auto" w:line="360" w:after="0"/>
        <w:ind w:left="567"/>
      </w:pPr>
      <w:r>
        <w:rPr>
          <w:rFonts w:ascii="바탕" w:hAnsi="바탕" w:eastAsia="바탕"/>
          <w:b w:val="0"/>
          <w:sz w:val="20"/>
        </w:rPr>
        <w:t>▸ 소속: Ch.Ⅵ §3.4 프롬프트 형식과 평가 민감도의 정성적 보완.</w:t>
      </w:r>
    </w:p>
    <w:p>
      <w:pPr>
        <w:spacing w:lineRule="auto" w:line="360" w:after="0"/>
        <w:ind w:left="567"/>
      </w:pPr>
      <w:r>
        <w:rPr>
          <w:rFonts w:ascii="바탕" w:hAnsi="바탕" w:eastAsia="바탕"/>
          <w:b w:val="0"/>
          <w:sz w:val="20"/>
        </w:rPr>
        <w:t>▸ 이 문서는 동일 질의·동일 가중치·동일 LLM 조건에서 sentence 프롬프트와 list 프롬프트가 어떤 응답과 지표 차이를 만드는지 일곱 개의 예시로 살펴본다. 형식 정렬만으로 F1&lt;sub&gt;strict&lt;/sub&gt; 가 상당 폭 상승하는 한편, 리스트 형식에서는 Faithfulness 의 2-분기 설계 덕에 환각이 보다 분명히 드러난다.</w:t>
      </w:r>
    </w:p>
    <w:p>
      <w:pPr>
        <w:pStyle w:val="Heading2"/>
        <w:spacing w:lineRule="auto" w:line="360" w:after="160"/>
      </w:pPr>
      <w:r>
        <w:rPr>
          <w:rFonts w:ascii="바탕" w:hAnsi="바탕" w:eastAsia="바탕"/>
          <w:b/>
          <w:sz w:val="24"/>
        </w:rPr>
        <w:t>CS-7.1 단일 과목 담당 교수 (Simple)</w:t>
      </w:r>
    </w:p>
    <w:p>
      <w:pPr>
        <w:spacing w:lineRule="auto" w:line="480" w:after="0"/>
      </w:pPr>
      <w:r>
        <w:rPr>
          <w:rFonts w:ascii="바탕" w:hAnsi="바탕" w:eastAsia="바탕"/>
          <w:b w:val="0"/>
          <w:sz w:val="21"/>
        </w:rPr>
        <w:t>질의: "정치외교 심리학개론 과목을 담당하는 교수는?", gold: 홍성민, 황성민, 전성민, 선택 가중치 (α, β, γ) = (0.2, 0.6, 0.2).</w:t>
      </w:r>
    </w:p>
    <w:p>
      <w:pPr>
        <w:spacing w:lineRule="auto" w:line="480" w:after="0"/>
      </w:pPr>
      <w:r>
        <w:rPr>
          <w:rFonts w:ascii="바탕" w:hAnsi="바탕" w:eastAsia="바탕"/>
          <w:b w:val="0"/>
          <w:sz w:val="21"/>
        </w:rPr>
        <w:t>sentence 프롬프트 응답은 "정치외교 심리학개론 과목을 담당하는 교수는 홍성민, 황성민, 전성민입니다." 이고, list 프롬프트 응답은 "홍성민, 황성민, 전성민" 이다. 세 이름을 모두 맞춘다는 점은 같지만 지표는 크게 달라진다.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sentence 쪽은 "과목", "담당", "교수", "입니다" 같은 토큰이 섞이면서 precision 이 0.375 로 낮아져 F1 이 0.364 에 머문다. list 쪽은 토큰 집합이 gold 와 정확히 같아 F1 과 EM 이 모두 1.0 에 도달하며, 짧은 출력이 응답 지연도 2.6배 줄여 준다.</w:t>
      </w:r>
    </w:p>
    <w:p>
      <w:pPr>
        <w:pStyle w:val="Heading2"/>
        <w:spacing w:lineRule="auto" w:line="360" w:after="160"/>
      </w:pPr>
      <w:r>
        <w:rPr>
          <w:rFonts w:ascii="바탕" w:hAnsi="바탕" w:eastAsia="바탕"/>
          <w:b/>
          <w:sz w:val="24"/>
        </w:rPr>
        <w:t>CS-7.2 조건부 질의의 부분 성공과 환각</w:t>
      </w:r>
    </w:p>
    <w:p>
      <w:pPr>
        <w:spacing w:lineRule="auto" w:line="480" w:after="0"/>
      </w:pPr>
      <w:r>
        <w:rPr>
          <w:rFonts w:ascii="바탕" w:hAnsi="바탕" w:eastAsia="바탕"/>
          <w:b w:val="0"/>
          <w:sz w:val="21"/>
        </w:rPr>
        <w:t>질의: "소프트웨어공학과 소속 55세 이하 교수는?", gold: 윤민준, 장민준, 황민준, 안민준, 선택 가중치 (0.2, 0.2, 0.6).</w:t>
      </w:r>
    </w:p>
    <w:p>
      <w:pPr>
        <w:spacing w:lineRule="auto" w:line="480" w:after="0"/>
      </w:pPr>
      <w:r>
        <w:rPr>
          <w:rFonts w:ascii="바탕" w:hAnsi="바탕" w:eastAsia="바탕"/>
          <w:b w:val="0"/>
          <w:sz w:val="21"/>
        </w:rPr>
        <w:t>sentence 쪽은 다섯 줄에 걸쳐 "윤민준과 안서준을 언급하였으나 안서준은 전자공학과 소속이고, 윤민준의 나이 정보는 없으므로 결국 정보를 찾을 수 없다" 는 식의 해명으로 답한다. list 쪽은 "안서준, 윤민준" 두 이름만 내놓는다.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(분기에 따라)</w:t>
            </w:r>
          </w:p>
        </w:tc>
        <w:tc>
          <w:tcPr>
            <w:tcW w:type="dxa" w:w="2797"/>
          </w:tcPr>
          <w:p>
            <w:pPr>
              <w:spacing w:lineRule="auto" w:line="276" w:after="0"/>
            </w:pPr>
            <w:r/>
            <w:r>
              <w:rPr>
                <w:rFonts w:ascii="바탕" w:hAnsi="바탕" w:eastAsia="바탕"/>
                <w:b w:val="0"/>
                <w:sz w:val="19"/>
              </w:rPr>
              <w:t>1.000 (any-token)</w:t>
            </w:r>
          </w:p>
        </w:tc>
        <w:tc>
          <w:tcPr>
            <w:tcW w:type="dxa" w:w="2797"/>
          </w:tcPr>
          <w:p>
            <w:pPr>
              <w:spacing w:lineRule="auto" w:line="276" w:after="0"/>
            </w:pPr>
            <w:r/>
            <w:r>
              <w:rPr>
                <w:rFonts w:ascii="바탕" w:hAnsi="바탕" w:eastAsia="바탕"/>
                <w:b w:val="0"/>
                <w:sz w:val="19"/>
              </w:rPr>
              <w:t>0.500 (per-item)</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두 응답 모두 gold 4명 중 윤민준 한 명만 실제로 맞추며 안서준은 환각이다. sentence 응답은 filler 토큰이 많아 any-token 검증을 거의 모두 통과시켜 Faithfulness 를 1.0 으로 과대평가한다. list 응답은 두 항목 각각을 컨텍스트에서 확인하여 0.5 를 돌려주는데, 환각의 존재를 즉시 드러낸다. 5,000 QA 전수 측정에서 list 프롬프트로의 Faithfulness 하락 (0.835 → 0.544) 이 품질 저하가 아니라 측정 해상도의 향상임을 보여 주는 전형적 예이다.</w:t>
      </w:r>
    </w:p>
    <w:p>
      <w:pPr>
        <w:pStyle w:val="Heading2"/>
        <w:spacing w:lineRule="auto" w:line="360" w:after="160"/>
      </w:pPr>
      <w:r>
        <w:rPr>
          <w:rFonts w:ascii="바탕" w:hAnsi="바탕" w:eastAsia="바탕"/>
          <w:b/>
          <w:sz w:val="24"/>
        </w:rPr>
        <w:t>CS-7.3 대규모 gold 리스트에서의 부분 응답</w:t>
      </w:r>
    </w:p>
    <w:p>
      <w:pPr>
        <w:spacing w:lineRule="auto" w:line="480" w:after="0"/>
      </w:pPr>
      <w:r>
        <w:rPr>
          <w:rFonts w:ascii="바탕" w:hAnsi="바탕" w:eastAsia="바탕"/>
          <w:b w:val="0"/>
          <w:sz w:val="21"/>
        </w:rPr>
        <w:t>질의: "화학과 소속 40세 이상 교수의 연구 분야는?", gold 14개 항목. list 프롬프트 응답은 머신러닝, 회계정보 두 항목뿐이고, 두 항목 모두 gold 에 속한다.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(list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Gold 가 대규모일 때 LLM 은 보수적으로 소수만 출력하는 경향이 있다. 출력한 두 항목은 모두 컨텍스트에서 지지되어 Faithfulness 는 만점이지만, recall 이 제한되어 F1 은 중간 수준에 그친다. 전수 열거를 유도하는 프롬프트 설계가 후속 개선의 여지가 남는 부분이다.</w:t>
      </w:r>
    </w:p>
    <w:p>
      <w:pPr>
        <w:pStyle w:val="Heading2"/>
        <w:spacing w:lineRule="auto" w:line="360" w:after="160"/>
      </w:pPr>
      <w:r>
        <w:rPr>
          <w:rFonts w:ascii="바탕" w:hAnsi="바탕" w:eastAsia="바탕"/>
          <w:b/>
          <w:sz w:val="24"/>
        </w:rPr>
        <w:t>CS-7.4 Gold 형식 이상이 평가를 제약하는 경우</w:t>
      </w:r>
    </w:p>
    <w:p>
      <w:pPr>
        <w:spacing w:lineRule="auto" w:line="480" w:after="0"/>
      </w:pPr>
      <w:r>
        <w:rPr>
          <w:rFonts w:ascii="바탕" w:hAnsi="바탕" w:eastAsia="바탕"/>
          <w:b w:val="0"/>
          <w:sz w:val="21"/>
        </w:rPr>
        <w:t>질의: "전임 교수 중 55세 미만인 사람은?". 이 질의의 gold 는 총 367명 (김민준, 이민준, 박민준, 정민준, 최민준…) 형태로, 367명의 이름을 5명 + 말줄임표로 압축한 비정규 표현이다. list 응답은 김민준, 이민준, 박민준 세 이름.</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Gold 의 "총 367명" 같은 메타 표현이 list 항목 분할에 끼어들어 정상 비교가 어렵고, 출력된 세 이름은 컨텍스트에 없어 Faithfulness 도 0 이 된다. 이 사례는 방법론보다 벤치마크 자체의 형식 문제가 평가 상한을 제약하는 경우로, Ch.Ⅶ 에서 벤치마크 정제가 향후 과제로 언급된 배경이기도 하다.</w:t>
      </w:r>
    </w:p>
    <w:p>
      <w:pPr>
        <w:pStyle w:val="Heading2"/>
        <w:spacing w:lineRule="auto" w:line="360" w:after="160"/>
      </w:pPr>
      <w:r>
        <w:rPr>
          <w:rFonts w:ascii="바탕" w:hAnsi="바탕" w:eastAsia="바탕"/>
          <w:b/>
          <w:sz w:val="24"/>
        </w:rPr>
        <w:t>CS-7.5 단일 응답 — list 프롬프트의 sweet spot</w:t>
      </w:r>
    </w:p>
    <w:p>
      <w:pPr>
        <w:spacing w:lineRule="auto" w:line="480" w:after="0"/>
      </w:pPr>
      <w:r>
        <w:rPr>
          <w:rFonts w:ascii="바탕" w:hAnsi="바탕" w:eastAsia="바탕"/>
          <w:b w:val="0"/>
          <w:sz w:val="21"/>
        </w:rPr>
        <w:t>질의: "최재원 교수의 소속 학과는?", gold: 바이오의공학과.</w:t>
      </w:r>
    </w:p>
    <w:p>
      <w:pPr>
        <w:spacing w:lineRule="auto" w:line="480" w:after="0"/>
      </w:pPr>
      <w:r>
        <w:rPr>
          <w:rFonts w:ascii="바탕" w:hAnsi="바탕" w:eastAsia="바탕"/>
          <w:b w:val="0"/>
          <w:sz w:val="21"/>
        </w:rPr>
        <w:t>list 응답은 바이오의공학과 하나이며 F1&lt;sub&gt;strict&lt;/sub&gt; · EM · Faithfulness 모두 1.00 이다. 단일 토큰 응답이 gold 와 완전히 일치하는 케이스로, Simple 유형 (벤치마크의 40%) 에서 L-DWA 의 F1&lt;sub&gt;strict&lt;/sub&gt; 가 0.906 에 이르는 주된 이유는 이런 패턴이 반복되기 때문이다.</w:t>
      </w:r>
    </w:p>
    <w:p>
      <w:pPr>
        <w:pStyle w:val="Heading2"/>
        <w:spacing w:lineRule="auto" w:line="360" w:after="160"/>
      </w:pPr>
      <w:r>
        <w:rPr>
          <w:rFonts w:ascii="바탕" w:hAnsi="바탕" w:eastAsia="바탕"/>
          <w:b/>
          <w:sz w:val="24"/>
        </w:rPr>
        <w:t>CS-7.6 Multi-hop 에서의 부분 응답</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 list 응답: 데이터사이언스학과 한 항목.</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Multi-hop 유형에서는 첫 번째 엔티티는 비교적 쉽게 찾지만, 두 번째 엔티티의 연결이 누락되는 경우가 많다. 전체 multi-hop 구간에서 L-DWA F1&lt;sub&gt;strict&lt;/sub&gt; 는 R-DWA 대비 약 3% 의 개선에 그치며, 이것이 본 논문에서 가장 개선 폭이 작은 영역이다.</w:t>
      </w:r>
    </w:p>
    <w:p>
      <w:pPr>
        <w:pStyle w:val="Heading2"/>
        <w:spacing w:lineRule="auto" w:line="360" w:after="160"/>
      </w:pPr>
      <w:r>
        <w:rPr>
          <w:rFonts w:ascii="바탕" w:hAnsi="바탕" w:eastAsia="바탕"/>
          <w:b/>
          <w:sz w:val="24"/>
        </w:rPr>
        <w:t>CS-7.7 종합</w:t>
      </w:r>
    </w:p>
    <w:p>
      <w:pPr>
        <w:spacing w:lineRule="auto" w:line="480" w:after="0"/>
      </w:pPr>
      <w:r>
        <w:rPr>
          <w:rFonts w:ascii="바탕" w:hAnsi="바탕" w:eastAsia="바탕"/>
          <w:b w:val="0"/>
          <w:sz w:val="21"/>
        </w:rPr>
        <w:t>일곱 사례를 함께 보면 list 프롬프트의 효과는 다음과 같이 요약된다.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w:t>
            </w:r>
          </w:p>
        </w:tc>
        <w:tc>
          <w:tcPr>
            <w:tcW w:type="dxa" w:w="2797"/>
          </w:tcPr>
          <w:p>
            <w:pPr>
              <w:spacing w:lineRule="auto" w:line="276" w:after="0"/>
            </w:pPr>
            <w:r/>
            <w:r>
              <w:rPr>
                <w:rFonts w:ascii="바탕" w:hAnsi="바탕" w:eastAsia="바탕"/>
                <w:b w:val="0"/>
                <w:sz w:val="19"/>
              </w:rPr>
              <w:t>약 0.39 (Simple 위주)</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(엄격)</w:t>
            </w:r>
          </w:p>
        </w:tc>
      </w:tr>
      <w:tr>
        <w:tc>
          <w:tcPr>
            <w:tcW w:type="dxa" w:w="2797"/>
          </w:tcPr>
          <w:p>
            <w:pPr>
              <w:spacing w:lineRule="auto" w:line="276" w:after="0"/>
            </w:pPr>
            <w:r/>
            <w:r>
              <w:rPr>
                <w:rFonts w:ascii="바탕" w:hAnsi="바탕" w:eastAsia="바탕"/>
                <w:b w:val="0"/>
                <w:sz w:val="19"/>
              </w:rPr>
              <w:t>지연 (초)</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평균 출력 토큰</w:t>
            </w:r>
          </w:p>
        </w:tc>
        <w:tc>
          <w:tcPr>
            <w:tcW w:type="dxa" w:w="2797"/>
          </w:tcPr>
          <w:p>
            <w:pPr>
              <w:spacing w:lineRule="auto" w:line="276" w:after="0"/>
            </w:pPr>
            <w:r/>
            <w:r>
              <w:rPr>
                <w:rFonts w:ascii="바탕" w:hAnsi="바탕" w:eastAsia="바탕"/>
                <w:b w:val="0"/>
                <w:sz w:val="19"/>
              </w:rPr>
              <w:t>45</w:t>
            </w:r>
          </w:p>
        </w:tc>
        <w:tc>
          <w:tcPr>
            <w:tcW w:type="dxa" w:w="2797"/>
          </w:tcPr>
          <w:p>
            <w:pPr>
              <w:spacing w:lineRule="auto" w:line="276" w:after="0"/>
            </w:pPr>
            <w:r/>
            <w:r>
              <w:rPr>
                <w:rFonts w:ascii="바탕" w:hAnsi="바탕" w:eastAsia="바탕"/>
                <w:b w:val="0"/>
                <w:sz w:val="19"/>
              </w:rPr>
              <w:t>12</w:t>
            </w:r>
          </w:p>
        </w:tc>
      </w:tr>
    </w:tbl>
    <w:p>
      <w:pPr>
        <w:spacing w:lineRule="auto" w:line="480" w:after="0"/>
      </w:pPr>
      <w:r>
        <w:rPr>
          <w:rFonts w:ascii="바탕" w:hAnsi="바탕" w:eastAsia="바탕"/>
          <w:b w:val="0"/>
          <w:sz w:val="21"/>
        </w:rPr>
        <w:t>형식 정렬만으로 R-DWA F1&lt;sub&gt;strict&lt;/sub&gt; 가 0.137 에서 0.529 로 오르고 EM 이 구조적 0 에서 0.39 로 회복되며, Faithfulness 는 보다 엄격한 측정이 가능해진다. 지연과 출력 비용도 함께 줄어든다. 이 모든 변화는 DWA 의 가중치 계산이나 학습 알고리즘에 대한 수정 없이 프롬프트 한 장의 변경만으로 얻어지며, 방법론의 본질이 평가 인프라의 형식 민감도와 얼마나 얽혀 있는지를 보여 준다.</w:t>
      </w:r>
    </w:p>
    <w:p>
      <w:pPr>
        <w:pStyle w:val="Heading1"/>
        <w:spacing w:lineRule="auto" w:line="360" w:after="160"/>
        <w:jc w:val="center"/>
      </w:pPr>
      <w:r>
        <w:rPr>
          <w:rFonts w:ascii="바탕" w:hAnsi="바탕" w:eastAsia="바탕"/>
          <w:b/>
          <w:sz w:val="28"/>
        </w:rPr>
        <w:t>Ⅶ. 결론</w:t>
      </w:r>
    </w:p>
    <w:p>
      <w:pPr>
        <w:pStyle w:val="Heading2"/>
        <w:spacing w:lineRule="auto" w:line="360" w:after="160"/>
      </w:pPr>
      <w:r>
        <w:rPr>
          <w:rFonts w:ascii="바탕" w:hAnsi="바탕" w:eastAsia="바탕"/>
          <w:b/>
          <w:sz w:val="24"/>
        </w:rPr>
        <w:t>1.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그리고 한국어 합성 대학 도메인 5,000 QA + 한국어 intent 정규식 + 그래프·온톨로지 존재라는 적용 범위 안에서, L-DWA 는 R-DWA 대비 F1&lt;sub&gt;strict&lt;/sub&gt; +6.2%, F1&lt;sub&gt;substring&lt;/sub&gt; +5.2%, Faithfulness +6.6% 의 일관된 개선을 기록하며, Oracle (per-query argmax, 66-점 이산 격자 상한) 을 모든 F1 지표에서 초과 하였다 (0.562 &gt; 0.554). 이는 학습된 Dirichlet 평균이 이산 argmax 상한을 넘어서는 연속 공간 탐색력 을 실증한다. 5,000 query-level paired bootstrap (BCa 95% CI, Ch.6 §3 아) 으로 R-DWA 대비 정책별 차이의 통계적 유의성 (L-DWA 3 seeds 모두 Δ ≈ +0.014, p &lt; 1e-4) 을 함께 보고하였으며, cache regime 에서 R-DWA 가 Uniform 가중치보다 유의하게 낮게 측정된다는 정직한 부수 관찰까지 명시적으로 노출하였다.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 본 결론의 모든 정량 주장은 위에 적시된 한국어 합성 대학 도메인이라는 적용 범위 안에서 성립한다는 점을 명시한다.</w:t>
      </w:r>
    </w:p>
    <w:p>
      <w:pPr>
        <w:pStyle w:val="Heading2"/>
        <w:spacing w:lineRule="auto" w:line="360" w:after="160"/>
      </w:pPr>
      <w:r>
        <w:rPr>
          <w:rFonts w:ascii="바탕" w:hAnsi="바탕" w:eastAsia="바탕"/>
          <w:b/>
          <w:sz w:val="24"/>
        </w:rPr>
        <w:t>2. 본 논문의 기여</w:t>
      </w:r>
    </w:p>
    <w:p>
      <w:pPr>
        <w:pStyle w:val="Heading3"/>
        <w:spacing w:lineRule="auto" w:line="360" w:after="160"/>
      </w:pPr>
      <w:r>
        <w:rPr>
          <w:rFonts w:ascii="바탕" w:hAnsi="바탕" w:eastAsia="바탕"/>
          <w:b/>
          <w:sz w:val="22"/>
        </w:rPr>
        <w:t>가.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pStyle w:val="Heading3"/>
        <w:spacing w:lineRule="auto" w:line="360" w:after="160"/>
      </w:pPr>
      <w:r>
        <w:rPr>
          <w:rFonts w:ascii="바탕" w:hAnsi="바탕" w:eastAsia="바탕"/>
          <w:b/>
          <w:sz w:val="22"/>
        </w:rPr>
        <w:t>나.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pStyle w:val="Heading3"/>
        <w:spacing w:lineRule="auto" w:line="360" w:after="160"/>
      </w:pPr>
      <w:r>
        <w:rPr>
          <w:rFonts w:ascii="바탕" w:hAnsi="바탕" w:eastAsia="바탕"/>
          <w:b/>
          <w:sz w:val="22"/>
        </w:rPr>
        <w:t>다.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pStyle w:val="Heading3"/>
        <w:spacing w:lineRule="auto" w:line="360" w:after="160"/>
      </w:pPr>
      <w:r>
        <w:rPr>
          <w:rFonts w:ascii="바탕" w:hAnsi="바탕" w:eastAsia="바탕"/>
          <w:b/>
          <w:sz w:val="22"/>
        </w:rPr>
        <w:t>라.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F1&lt;sub&gt;strict&lt;/sub&gt;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Ch.6 §7.</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pStyle w:val="Heading2"/>
        <w:spacing w:lineRule="auto" w:line="360" w:after="160"/>
      </w:pPr>
      <w:r>
        <w:rPr>
          <w:rFonts w:ascii="바탕" w:hAnsi="바탕" w:eastAsia="바탕"/>
          <w:b/>
          <w:sz w:val="24"/>
        </w:rPr>
        <w:t>3. 학술적·실용적 의의</w:t>
      </w:r>
    </w:p>
    <w:p>
      <w:pPr>
        <w:spacing w:lineRule="auto" w:line="480" w:after="0"/>
      </w:pPr>
      <w:r>
        <w:rPr>
          <w:rFonts w:ascii="바탕" w:hAnsi="바탕" w:eastAsia="바탕"/>
          <w:b w:val="0"/>
          <w:sz w:val="21"/>
        </w:rPr>
        <w:t>본 연구가 가지는 의미를 학술적 측면과 실용적 측면으로 나누어 간략히 정리한다.</w:t>
      </w:r>
    </w:p>
    <w:p>
      <w:pPr>
        <w:spacing w:lineRule="auto" w:line="480" w:after="0"/>
      </w:pPr>
      <w:r>
        <w:rPr>
          <w:rFonts w:ascii="바탕" w:hAnsi="바탕" w:eastAsia="바탕"/>
          <w:b w:val="0"/>
          <w:sz w:val="21"/>
        </w:rPr>
        <w:t>학술적으로는 하이브리드 RAG 의 가중치 결정을 연속 공간 위의 강화학습 문제로 다룬 초기 사례에 해당한다. 기존의 RAG-RL 연구들이 주로 retrieval 이나 generation 단계의 self-reflection (Self-RAG), 혹은 classifier 기반 라우팅 (Adaptive-RAG) 에 집중해 왔다면, 본 논문은 복수 지식 소스 간의 가중치 α·β·γ 자체를 정책의 출력으로 삼는다. 또한 한국어 QA 평가의 민감도를 정량적으로 보여 주었다. F1&lt;sub&gt;strict&lt;/sub&gt; 와 F1&lt;sub&gt;substring&lt;/sub&gt; 이 0.137 대 0.450 의 격차를 보였다는 관찰은, 평가 기준이 바뀌면 같은 시스템의 수치가 3배 이상 달라질 수 있다는 구체적 근거가 된다. 한국어 자연어 응답에 대한 공통 평가 체계가 아직 정립되지 않은 현 상황에서, 이런 실증 자료는 후속 논의의 기반으로 활용될 여지가 있다.</w:t>
      </w:r>
    </w:p>
    <w:p>
      <w:pPr>
        <w:spacing w:lineRule="auto" w:line="480" w:after="0"/>
      </w:pPr>
      <w:r>
        <w:rPr>
          <w:rFonts w:ascii="바탕" w:hAnsi="바탕" w:eastAsia="바탕"/>
          <w:b w:val="0"/>
          <w:sz w:val="21"/>
        </w:rPr>
        <w:t>실용적으로는 강화학습 기반 RAG 튜닝의 비용 진입 장벽을 낮춘 점을 꼽을 수 있다. 오프라인 보상 캐시 덕분에 일회 $33 규모로 학습 루프를 돌릴 수 있게 되었고, 이는 개인 연구자나 소규모 팀이 RL-based RAG 를 시도하기 어렵게 만들던 비용 요인을 상당히 완화한다. 공개 저장소 (https://github.com/sdw1621/triple-rag-phd) 에는 16.8 MB 의 SQLite 캐시와 3-seed 체크포인트가 포함되어 있어, 본 논문의 수치를 그대로 재현하거나 다른 도메인 cache 를 새로 구축해 보는 작업을 비교적 적은 진입 비용으로 시작할 수 있다. 새 도메인에 L-DWA 를 배포하고자 하는 연구자에게는 "수백 쌍 규모의 gold QA × 66 가중치 = 수만 엔트리의 소형 캐시를 $3 안팎에 구축하고, 10,000 에피소드 PPO 를 추가로 돌리는" 레시피가 §6.7.4 의 영어 합성 벤치마크 실험에서 동작 원리와 함께 예시되어 있다. Graph 와 Ontology 가 어느 정도 구축된 기업 내부 지식베이스 (법무·의료·금융 등) 에는 직접 적용 가능한 경로이다.</w:t>
      </w:r>
    </w:p>
    <w:p>
      <w:pPr>
        <w:pStyle w:val="Heading2"/>
        <w:spacing w:lineRule="auto" w:line="360" w:after="160"/>
      </w:pPr>
      <w:r>
        <w:rPr>
          <w:rFonts w:ascii="바탕" w:hAnsi="바탕" w:eastAsia="바탕"/>
          <w:b/>
          <w:sz w:val="24"/>
        </w:rPr>
        <w:t>4. 한계 및 향후 연구 방향</w:t>
      </w:r>
    </w:p>
    <w:p>
      <w:pPr>
        <w:pStyle w:val="Heading3"/>
        <w:spacing w:lineRule="auto" w:line="360" w:after="160"/>
      </w:pPr>
      <w:r>
        <w:rPr>
          <w:rFonts w:ascii="바탕" w:hAnsi="바탕" w:eastAsia="바탕"/>
          <w:b/>
          <w:sz w:val="22"/>
        </w:rPr>
        <w:t>가. 한계</w:t>
      </w:r>
    </w:p>
    <w:p>
      <w:pPr>
        <w:spacing w:lineRule="auto" w:line="480" w:after="0"/>
      </w:pPr>
      <w:r>
        <w:rPr>
          <w:rFonts w:ascii="바탕" w:hAnsi="바탕" w:eastAsia="바탕"/>
          <w:b w:val="0"/>
          <w:sz w:val="21"/>
        </w:rPr>
        <w:t>본 논문이 가지는 한계는 다섯 가지로 정리된다. 먼저, end-to-end 학습은 한국어 합성 대학 도메인 하나에서만 검증되었다. 교차 도메인 실험은 transfer feasibility 와 원인 분해 수준에 머물며, 본격적인 per-domain 학습 비교로는 확장되지 않았다. 영어 합성 벤치마크에서 R-DWA 가 이미 F1&lt;sub&gt;strict&lt;/sub&gt; 0.663 에 도달하고 L-DWA 가 이를 넘기지 못한 §6.7.7 결과는, state 표현의 질이 L-DWA 의 상한을 결정한다는 사실을 구체적으로 보여 준다.</w:t>
      </w:r>
    </w:p>
    <w:p>
      <w:pPr>
        <w:spacing w:lineRule="auto" w:line="480" w:after="0"/>
      </w:pPr>
      <w:r>
        <w:rPr>
          <w:rFonts w:ascii="바탕" w:hAnsi="바탕" w:eastAsia="바탕"/>
          <w:b w:val="0"/>
          <w:sz w:val="21"/>
        </w:rPr>
        <w:t>교차 도메인 naive transfer 실패는 §6.7 에서 언어·도메인 어휘·Graph/Ontology 부재라는 세 층위로 분해하여 독립 실험으로 확인하였다. 언어와 어휘의 두 축은 후속 확장으로 개선 가능하지만, Graph/Ontology 가 존재하지 않는 벤치마크에서는 재학습도 효과가 없었다. 이는 Triple-Hybrid 의 본질적 경계 조건에 해당한다.</w:t>
      </w:r>
    </w:p>
    <w:p>
      <w:pPr>
        <w:spacing w:lineRule="auto" w:line="480" w:after="0"/>
      </w:pPr>
      <w:r>
        <w:rPr>
          <w:rFonts w:ascii="바탕" w:hAnsi="바탕" w:eastAsia="바탕"/>
          <w:b w:val="0"/>
          <w:sz w:val="21"/>
        </w:rPr>
        <w:t>Reward 식의 EM 항이 sentence 프롬프트 하에서는 구조적으로 0 이라는 점도 한계로 남는다. list 프롬프트 도입 후 한국어 합성에서 EM 이 0.39, 영어 합성에서 0.29 까지 회복되기는 하였으나, reward 식의 0.3·EM 항이 학습 신호로 기능하지 않는 구조는 여전히 남아 있다. BERT intent classifier 는 구현 단계에서 멈추어 있어 intent_logits 가 (0, 0, 0) 으로 고정된 상태이며, 영어 L-DWA 실험에서 확인된 것처럼 state 가 구분되지 않을 때 L-DWA 의 이점이 소실된다는 관찰은 intent encoder 개선이 선행 조건임을 시사한다. 마지막으로 보상 캐시 구축 시점에 평가기 구두점 처리 버그가 있었고, 이는 _PUNCT_RE 패치로 수정한 뒤 선행 저장소 CORRIGENDUM (2026-04-22) 에 공개 정정으로 기록하였다.</w:t>
      </w:r>
    </w:p>
    <w:p>
      <w:pPr>
        <w:pStyle w:val="Heading3"/>
        <w:spacing w:lineRule="auto" w:line="360" w:after="160"/>
      </w:pPr>
      <w:r>
        <w:rPr>
          <w:rFonts w:ascii="바탕" w:hAnsi="바탕" w:eastAsia="바탕"/>
          <w:b/>
          <w:sz w:val="22"/>
        </w:rPr>
        <w:t>나. 향후 연구</w:t>
      </w:r>
    </w:p>
    <w:p>
      <w:pPr>
        <w:spacing w:lineRule="auto" w:line="480" w:after="0"/>
      </w:pPr>
      <w:r>
        <w:rPr>
          <w:rFonts w:ascii="바탕" w:hAnsi="바탕" w:eastAsia="바탕"/>
          <w:b w:val="0"/>
          <w:sz w:val="21"/>
        </w:rPr>
        <w:t>이러한 한계들을 기반으로, 본 연구를 확장할 수 있는 방향은 다음과 같이 정리된다.</w:t>
      </w:r>
    </w:p>
    <w:p>
      <w:pPr>
        <w:spacing w:lineRule="auto" w:line="480" w:after="0"/>
      </w:pPr>
      <w:r>
        <w:rPr>
          <w:rFonts w:ascii="바탕" w:hAnsi="바탕" w:eastAsia="바탕"/>
          <w:b w:val="0"/>
          <w:sz w:val="21"/>
        </w:rPr>
        <w:t>첫째로는 다국어 state feature 의 설계가 있다. multilingual BERT 를 intent encoder 로 쓰거나, retrieval 점수만으로 구성되어 언어에 중립적인 state 를 구성하는 방향을 검토할 필요가 있다. 이 축이 해결되지 않으면 §6.7.7 에서 관찰된 "state 가 모두 같아져 L-DWA 가 R-DWA 로 수렴" 하는 현상을 피하기 어렵다.</w:t>
      </w:r>
    </w:p>
    <w:p>
      <w:pPr>
        <w:spacing w:lineRule="auto" w:line="480" w:after="0"/>
      </w:pPr>
      <w:r>
        <w:rPr>
          <w:rFonts w:ascii="바탕" w:hAnsi="바탕" w:eastAsia="바탕"/>
          <w:b w:val="0"/>
          <w:sz w:val="21"/>
        </w:rPr>
        <w:t>둘째, 도메인별 fine-tuning 레시피를 체계화하는 작업이다. HotpotQA, MuSiQue, PubMedQA 등에서 소형 캐시를 구축하고 추가 PPO 학습을 수행했을 때의 비용-효과를 정량적으로 비교해 두면, 다른 연구자들이 자기 도메인에 본 방법론을 적용할 때 참고가 될 것이다.</w:t>
      </w:r>
    </w:p>
    <w:p>
      <w:pPr>
        <w:spacing w:lineRule="auto" w:line="480" w:after="0"/>
      </w:pPr>
      <w:r>
        <w:rPr>
          <w:rFonts w:ascii="바탕" w:hAnsi="바탕" w:eastAsia="바탕"/>
          <w:b w:val="0"/>
          <w:sz w:val="21"/>
        </w:rPr>
        <w:t>셋째, reward 식의 재설계가 필요하다. 0.3·EM 항이 학습에 기여하지 못하는 현 구조를 감안하면, 이 가중치를 F1 (list-aware) 또는 Faithfulness 로 재분배한 버전의 실증 비교가 의미 있을 것이다. 넷째, 복수 도메인의 캐시를 함께 사용하여 joint 학습을 시도해 보는 방향도 흥미롭다. 학습된 정책이 도메인별로 내재적 signature 를 형성하는지, 아니면 평균화된 정책으로 수렴하는지를 관찰할 수 있다.</w:t>
      </w:r>
    </w:p>
    <w:p>
      <w:pPr>
        <w:spacing w:lineRule="auto" w:line="480" w:after="0"/>
      </w:pPr>
      <w:r>
        <w:rPr>
          <w:rFonts w:ascii="바탕" w:hAnsi="바탕" w:eastAsia="바탕"/>
          <w:b w:val="0"/>
          <w:sz w:val="21"/>
        </w:rPr>
        <w:t>나머지 방향으로는 선행 저장소 hybrid-rag-comparsion 과의 평가기 통일, 구현만 제시된 BERT multi-label intent 분류기의 학습과 재평가, 그리고 5,636 파라미터 규모의 Actor-Critic 을 더 크게 가져갔을 때의 스케일링 효과 등을 들 수 있다. 이 가운데 평가기 통일은 선행 저장소와의 연속성을 유지하는 차원에서, BERT intent 학습은 특히 조건부 질의에서 추가 개선의 여지를 확인하는 차원에서, 네트워크 스케일은 현재 관찰된 "Oracle 초과가 +1~2%p 수준" 이라는 제한된 개선 폭이 모델 용량에서 오는 것인지를 가르는 차원에서 각각 의미를 가진다.</w:t>
      </w:r>
    </w:p>
    <w:p>
      <w:pPr>
        <w:pStyle w:val="Heading2"/>
        <w:spacing w:lineRule="auto" w:line="360" w:after="160"/>
      </w:pPr>
      <w:r>
        <w:rPr>
          <w:rFonts w:ascii="바탕" w:hAnsi="바탕" w:eastAsia="바탕"/>
          <w:b/>
          <w:sz w:val="24"/>
        </w:rPr>
        <w:t>5.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pStyle w:val="Heading2"/>
        <w:spacing w:lineRule="auto" w:line="360" w:after="160"/>
      </w:pPr>
      <w:r>
        <w:rPr>
          <w:rFonts w:ascii="바탕" w:hAnsi="바탕" w:eastAsia="바탕"/>
          <w:b/>
          <w:sz w:val="24"/>
        </w:rPr>
        <w:t>6.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pStyle w:val="Heading1"/>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pStyle w:val="Heading2"/>
        <w:spacing w:lineRule="auto" w:line="360" w:after="160"/>
      </w:pPr>
      <w:r>
        <w:rPr>
          <w:rFonts w:ascii="바탕" w:hAnsi="바탕" w:eastAsia="바탕"/>
          <w:b/>
          <w:sz w:val="24"/>
        </w:rPr>
        <w:t>부록 A. 하이퍼파라미터 전체 표</w:t>
      </w:r>
    </w:p>
    <w:p>
      <w:pPr>
        <w:pStyle w:val="Heading3"/>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pStyle w:val="Heading3"/>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pStyle w:val="Heading3"/>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pStyle w:val="Heading3"/>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pStyle w:val="Heading2"/>
        <w:spacing w:lineRule="auto" w:line="360" w:after="160"/>
      </w:pPr>
      <w:r>
        <w:rPr>
          <w:rFonts w:ascii="바탕" w:hAnsi="바탕" w:eastAsia="바탕"/>
          <w:b/>
          <w:sz w:val="24"/>
        </w:rPr>
        <w:t>부록 B. 알고리즘 의사코드</w:t>
      </w:r>
    </w:p>
    <w:p>
      <w:pPr>
        <w:pStyle w:val="Heading3"/>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pStyle w:val="Heading3"/>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pStyle w:val="Heading3"/>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pStyle w:val="Heading2"/>
        <w:spacing w:lineRule="auto" w:line="360" w:after="160"/>
      </w:pPr>
      <w:r>
        <w:rPr>
          <w:rFonts w:ascii="바탕" w:hAnsi="바탕" w:eastAsia="바탕"/>
          <w:b/>
          <w:sz w:val="24"/>
        </w:rPr>
        <w:t>부록 C. 본 연구에서 재검토된 평가 지표 (버그 및 수정)</w:t>
      </w:r>
    </w:p>
    <w:p>
      <w:pPr>
        <w:pStyle w:val="Heading3"/>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pStyle w:val="Heading3"/>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pStyle w:val="Heading3"/>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pStyle w:val="Heading2"/>
        <w:spacing w:lineRule="auto" w:line="360" w:after="160"/>
      </w:pPr>
      <w:r>
        <w:rPr>
          <w:rFonts w:ascii="바탕" w:hAnsi="바탕" w:eastAsia="바탕"/>
          <w:b/>
          <w:sz w:val="24"/>
        </w:rPr>
        <w:t>부록 D. 실패 실험 기록 (Future Work 근거)</w:t>
      </w:r>
    </w:p>
    <w:p>
      <w:pPr>
        <w:pStyle w:val="Heading3"/>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pStyle w:val="Heading3"/>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pStyle w:val="Heading3"/>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pStyle w:val="Heading2"/>
        <w:spacing w:lineRule="auto" w:line="360" w:after="160"/>
      </w:pPr>
      <w:r>
        <w:rPr>
          <w:rFonts w:ascii="바탕" w:hAnsi="바탕" w:eastAsia="바탕"/>
          <w:b/>
          <w:sz w:val="24"/>
        </w:rPr>
        <w:t>부록 E. 컴퓨팅 자원 사용 요약</w:t>
      </w:r>
    </w:p>
    <w:p>
      <w:pPr>
        <w:pStyle w:val="Heading3"/>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pStyle w:val="Heading3"/>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pStyle w:val="Heading2"/>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pStyle w:val="Heading2"/>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pStyle w:val="Heading3"/>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pStyle w:val="Heading3"/>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pStyle w:val="Heading3"/>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F1&lt;sub&gt;strict&lt;/sub&gt;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F1&lt;sub&gt;strict&lt;/sub&gt;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F1&lt;sub&gt;strict&lt;/sub&gt;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(F1&lt;sub&gt;strict&lt;/sub&gt;)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(§Ⅵ.1.4)</w:t>
      </w:r>
    </w:p>
    <w:p>
      <w:pPr>
        <w:pStyle w:val="Heading3"/>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pStyle w:val="Heading2"/>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pStyle w:val="Heading3"/>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pStyle w:val="Heading3"/>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F1&lt;sub&gt;strict&lt;/sub&gt;</w:t>
            </w:r>
          </w:p>
        </w:tc>
        <w:tc>
          <w:tcPr>
            <w:tcW w:type="dxa" w:w="2097"/>
          </w:tcPr>
          <w:p>
            <w:pPr>
              <w:spacing w:lineRule="auto" w:line="276" w:after="0"/>
            </w:pPr>
            <w:r/>
            <w:r>
              <w:rPr>
                <w:rFonts w:ascii="바탕" w:hAnsi="바탕" w:eastAsia="바탕"/>
                <w:b/>
                <w:sz w:val="19"/>
              </w:rPr>
              <w:t>L-DWA F1&lt;sub&gt;strict&lt;/sub&gt;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pStyle w:val="Heading3"/>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(λ&lt;sub&gt;F1&lt;/sub&gt;, λ&lt;sub&gt;EM&lt;/sub&gt;, λ&lt;sub&gt;Faith&lt;/sub&gt;)</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pStyle w:val="Heading3"/>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F1&lt;sub&gt;strict&lt;/sub&gt;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pStyle w:val="Heading2"/>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pStyle w:val="Heading3"/>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pStyle w:val="Heading1"/>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모델의 환각과 지식 단절 문제를 완화하는 기법으로 자리 잡았으며, 단일 지식 소스의 한계를 넘기 위해 Vector·Graph·Ontology 세 소스를 결합한 Triple-Hybrid RAG 가 제안되어 왔다. 저자의 선행 연구 Shin &amp; Moon (2025, JKSCI) 는 세 소스의 가중치 (α, β, γ) 를 2단계 규칙으로 결정하는 Rule-based Dynamic Weighting Algorithm (R-DWA) 을 제안하였으나, 규칙 기반 접근이 갖는 구조적 한계 — 도메인 편향, 단일 λ, 조건부 질의 미세 분해 부재, 도메인 이전의 취약성 — 가 이후 분석에서 확인되었다.</w:t>
      </w:r>
    </w:p>
    <w:p>
      <w:pPr>
        <w:spacing w:lineRule="auto" w:line="480" w:after="0"/>
      </w:pPr>
      <w:r>
        <w:rPr>
          <w:rFonts w:ascii="바탕" w:hAnsi="바탕" w:eastAsia="바탕"/>
          <w:b w:val="0"/>
          <w:sz w:val="21"/>
        </w:rPr>
        <w:t>본 박사 논문은 이 가중치 결정 문제를 18차원 상태 × 3-simplex 행동의 1-step Markov Decision Process 로 공식화하고, Proximal Policy Optimization 으로 학습하는 Learned Dynamic Weighting Algorithm (L-DWA) 을 제안한다. 사용된 Actor-Critic 네트워크는 5,636 파라미터에 불과하며, 학습 중 LLM 호출 비용을 없애기 위해 5,000 질의 × 66 이산 가중치 = 330,000 엔트리의 오프라인 보상 캐시를 함께 설계하였다. 이로써 3-seed 전체 학습의 예상 비용이 $288 에서 $33 으로 85% 절감되어 개인 연구자 규모에서 RL 기반 RAG 연구를 반복 실행할 수 있게 되었다.</w:t>
      </w:r>
    </w:p>
    <w:p>
      <w:pPr>
        <w:spacing w:lineRule="auto" w:line="480" w:after="0"/>
      </w:pPr>
      <w:r>
        <w:rPr>
          <w:rFonts w:ascii="바탕" w:hAnsi="바탕" w:eastAsia="바탕"/>
          <w:b w:val="0"/>
          <w:sz w:val="21"/>
        </w:rPr>
        <w:t>합성 대학 5,000 QA 벤치마크에서 3 seeds 학습 후 측정한 결과, 한국어 합성 대학 도메인 + 한국어 intent 정규식 + 구축된 그래프·온톨로지 라는 조건 하에서 L-DWA 는 R-DWA 대비 F1&lt;sub&gt;strict&lt;/sub&gt; 0.529 → 0.562 (±0.007), F1&lt;sub&gt;substring&lt;/sub&gt; 0.482 → 0.507 (±0.009), Faithfulness 0.544 → 0.580 (±0.009) 의 일관된 개선을 보였다. 주목할 점은 학습된 Dirichlet 평균이 66-점 이산 격자에서의 per-query argmax Oracle (F1&lt;sub&gt;strict&lt;/sub&gt; 0.554) 을 네 개 F1 축 모두에서 조금씩 넘어섰다는 것이다. 이는 연속 정책이 이산 상한을 활용할 수 있다는 관찰로 해석된다. 질의 유형별로는 조건부 질의 (n=1,250) 에서 R-DWA 0.223 대비 L-DWA 0.304 로 36.7% 향상되며 이 영역에서 역시 Oracle 을 넘어선다. 통계적 유의성 검증으로는 5,000 query-level paired bootstrap (BCa 95% CI) 을 §6.3.6 에 함께 보고하며, cache regime 에서 R-DWA 가 Uniform 가중치보다도 통계적으로 유의하게 낮다는 정직한 부수 관찰까지 함께 노출한다.</w:t>
      </w:r>
    </w:p>
    <w:p>
      <w:pPr>
        <w:spacing w:lineRule="auto" w:line="480" w:after="0"/>
      </w:pPr>
      <w:r>
        <w:rPr>
          <w:rFonts w:ascii="바탕" w:hAnsi="바탕" w:eastAsia="바탕"/>
          <w:b w:val="0"/>
          <w:sz w:val="21"/>
        </w:rPr>
        <w:t>Reward 함수의 0.3·EM 항은 sentence 프롬프트 하 EM 이 구조적으로 0 이라는 점 때문에 학습에 기여하지 못하므로, 본 논문의 PPO 가 실제로 최적화한 목적은 0.5·F1 + 0.2·Faithfulness 의 비율로 해석된다. 이 사실은 6장 §1.4·§2.3 및 결론 §4.1 의 한계 진술에서 함께 다룬다.</w:t>
      </w:r>
    </w:p>
    <w:p>
      <w:pPr>
        <w:spacing w:lineRule="auto" w:line="480" w:after="0"/>
      </w:pPr>
      <w:r>
        <w:rPr>
          <w:rFonts w:ascii="바탕" w:hAnsi="바탕" w:eastAsia="바탕"/>
          <w:b w:val="0"/>
          <w:sz w:val="21"/>
        </w:rPr>
        <w:t>연구 과정에서 선행 저장소의 평가 코드가 현재 환경에서 그대로 재현되지 않는다는 점을 확인하였고, 그 원인을 normalize_korean 의 구두점 처리 누락과 Table 8 생성 노트북의 미실행 상태로 추적하여 선행 저장소에 CORRIGENDUM 으로 공개 정정하였다. 본 논문은 이 수정된 평가 인프라 위에서 R-DWA 와 L-DWA 를 비교하며, list-prompt 옵션, Faithfulness 의 두 분기 설계, 세 종류 F1 (strict / substring / char) 의 병기 보고를 함께 도입한다. 세 지표의 차이가 드러내는 한국어 QA 평가의 형식 의존성 자체가 부수적인 관찰이다.</w:t>
      </w:r>
    </w:p>
    <w:p>
      <w:pPr>
        <w:spacing w:lineRule="auto" w:line="480" w:after="0"/>
      </w:pPr>
      <w:r>
        <w:rPr>
          <w:rFonts w:ascii="바탕" w:hAnsi="바탕" w:eastAsia="바탕"/>
          <w:b w:val="0"/>
          <w:sz w:val="21"/>
        </w:rPr>
        <w:t>HotpotQA / MuSiQue / PubMedQA 로의 교차 도메인 적용에서는 Vector-only 기준선 대비 30~35% 저하가 관찰되었으며, 이 실패의 원인을 언어 장벽, 도메인 어휘, 그리고 Graph/Ontology 의 부재로 나누어 각각을 후속 실험으로 확인하였다. 영어 intent 패턴 추가만으로 R-DWA 38%, L-DWA 49% 의 회복이 이루어졌고, 동일 스키마의 영어 합성 대학 벤치마크를 새로 구축했을 때 R-DWA 가 F1&lt;sub&gt;strict&lt;/sub&gt; 0.663 으로 한국어 결과보다 오히려 더 잘 작동함을 확인하였다. 반면 그래프나 온톨로지가 존재하지 않는 벤치마크에서는 재학습조차 학습 곡선이 평탄하여, 이것이 Triple-Hybrid 의 본질적 경계 조건임을 분명히 하였다.</w:t>
      </w:r>
    </w:p>
    <w:p>
      <w:pPr>
        <w:spacing w:lineRule="auto" w:line="480" w:after="0"/>
      </w:pPr>
      <w:r>
        <w:rPr>
          <w:rFonts w:ascii="바탕" w:hAnsi="바탕" w:eastAsia="바탕"/>
          <w:b w:val="0"/>
          <w:sz w:val="21"/>
        </w:rPr>
        <w:t>모든 코드, 330K 보상 캐시, 3-seed 체크포인트, 그리고 평가 결과 대시보드는 GitHub (sdw1621/triple-rag-phd) 에 공개되어 있으며, 본 논문의 수치는 단일 명령으로 재현된다.</w:t>
      </w:r>
    </w:p>
    <w:p>
      <w:pPr>
        <w:spacing w:lineRule="auto" w:line="480" w:after="0"/>
      </w:pPr>
      <w:r>
        <w:rPr>
          <w:rFonts w:ascii="바탕" w:hAnsi="바탕" w:eastAsia="바탕"/>
          <w:b w:val="0"/>
          <w:sz w:val="21"/>
        </w:rPr>
        <w:t>주요어: Triple-Hybrid RAG, 강화학습, 근위 정책 최적화, 동적 가중치, 오프라인 캐시, 한국어 질의응답, 지식 그래프, 온톨로지, 재현성, 교차 언어</w:t>
      </w:r>
    </w:p>
    <w:p>
      <w:pPr>
        <w:spacing w:lineRule="auto" w:line="480" w:after="0"/>
      </w:pPr>
      <w:r>
        <w:rPr>
          <w:rFonts w:ascii="바탕" w:hAnsi="바탕" w:eastAsia="바탕"/>
          <w:b w:val="0"/>
          <w:sz w:val="21"/>
        </w:rPr>
        <w:t>학번: 20215175</w:t>
      </w:r>
    </w:p>
    <w:p>
      <w:pPr>
        <w:pStyle w:val="Heading1"/>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has become a standard remedy for hallucination and knowledge-cutoff issues in large language models, and the Triple-Hybrid RAG architecture that combines Vector, Graph, and Ontology sources was proposed as a way to move beyond single-source retrieval. The author's prior work, Shin &amp; Moon (2025, JKSCI), introduced the Rule-based Dynamic Weighting Algorithm (R-DWA), which determines the three source weights (α, β, γ) through a two-stage rule. Subsequent analysis revealed several structural limitations of this rule-based approach: domain bias in the base-weight table, reliance on a single tuning constant λ, the absence of fine-grained handling for conditional queries, and fragility under cross-domain transfer.</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the Learned Dynamic Weighting Algorithm (L-DWA). The trained policy is a compact Actor-Critic network of 5,636 parameters, optimized via Proximal Policy Optimization. To eliminate the LLM cost during training, we pre-compute a 330,000-entry offline reward cache covering all (query, discretized-weight) pairs. Once the cache is in place, three-seed PPO training runs with zero additional LLM calls, reducing the total training budget from roughly $288 to $33 (a 85% reduction) and bringing reinforcement-learning-based RAG research within reach of individual researchers.</w:t>
      </w:r>
    </w:p>
    <w:p>
      <w:pPr>
        <w:spacing w:lineRule="auto" w:line="480" w:after="0"/>
      </w:pPr>
      <w:r>
        <w:rPr>
          <w:rFonts w:ascii="바탕" w:hAnsi="바탕" w:eastAsia="바탕"/>
          <w:b w:val="0"/>
          <w:sz w:val="21"/>
        </w:rPr>
        <w:t>On a 5,000-QA synthetic university benchmark, L-DWA improves over R-DWA by F1&lt;sub&gt;strict&lt;/sub&gt; 0.529 → 0.562 (±0.007), F1&lt;sub&gt;substring&lt;/sub&gt; 0.482 → 0.507 (±0.009), and Faithfulness 0.544 → 0.580 (±0.009), averaged across three seeds. A more subtle observation is that the learned continuous Dirichlet mean slightly exceeds the per-query argmax Oracle defined on the 66-point discrete grid (F1&lt;sub&gt;strict&lt;/sub&gt; 0.562 vs. 0.554), across all four F1-style metrics. This is consistent with the view that a continuous policy can reach regions of the simplex that a discrete argmax cannot. Conditional queries (n=1,250) show the largest relative gap, with L-DWA at 0.304 compared to R-DWA's 0.223 (+36.7%) and Oracle's 0.290.</w:t>
      </w:r>
    </w:p>
    <w:p>
      <w:pPr>
        <w:spacing w:lineRule="auto" w:line="480" w:after="0"/>
      </w:pPr>
      <w:r>
        <w:rPr>
          <w:rFonts w:ascii="바탕" w:hAnsi="바탕" w:eastAsia="바탕"/>
          <w:b w:val="0"/>
          <w:sz w:val="21"/>
        </w:rPr>
        <w:t>During the work, several discrepancies between the prior paper's reported numbers and what its own code produces were discovered. The causes were traced to a punctuation-handling issue in normalize_korean that shrunk list-form F1 to roughly one-third of its true value, and to an unexecuted Table 8 cell in the accompanying notebook. Both items are disclosed in a CORRIGENDUM published to the prior repository. The comparisons in this dissertation are therefore carried out on the corrected evaluation infrastructure, which also adds a list-style prompt option, a two-branch formulation of Faithfulness, and three parallel F1 variants (strict, substring, char). The gaps among these variants themselves constitute a side observation about the format-sensitivity of Korean QA evaluation.</w:t>
      </w:r>
    </w:p>
    <w:p>
      <w:pPr>
        <w:spacing w:lineRule="auto" w:line="480" w:after="0"/>
      </w:pPr>
      <w:r>
        <w:rPr>
          <w:rFonts w:ascii="바탕" w:hAnsi="바탕" w:eastAsia="바탕"/>
          <w:b w:val="0"/>
          <w:sz w:val="21"/>
        </w:rPr>
        <w:t>Cross-domain application to HotpotQA, MuSiQue, and PubMedQA shows a 30–35% degradation below Vector-only baselines. We separate this failure into language barrier, domain vocabulary, and absence of Graph/Ontology, and confirm each through a follow-up experiment. Adding English intent patterns recovers 38% for R-DWA and 49% for L-DWA; a newly constructed English-language synthetic university benchmark pushes R-DWA to F1&lt;sub&gt;strict&lt;/sub&gt; 0.663, higher than the Korean counterpart; in contrast, retraining on HotpotQA alone does not move the learning curve at all. The conclusion is that cross-domain failure is primarily a matter of data alignment and state representation rather than an architectural limit of the method, while the absence of structured knowledge sources is a genuine boundary of the Triple-Hybrid framework.</w:t>
      </w:r>
    </w:p>
    <w:p>
      <w:pPr>
        <w:spacing w:lineRule="auto" w:line="480" w:after="0"/>
      </w:pPr>
      <w:r>
        <w:rPr>
          <w:rFonts w:ascii="바탕" w:hAnsi="바탕" w:eastAsia="바탕"/>
          <w:b w:val="0"/>
          <w:sz w:val="21"/>
        </w:rPr>
        <w:t>All code, the reward cache, the three-seed checkpoints, and a Streamlit dashboard are publicly available at github.com/sdw1621/triple-rag-phd, and the numerical results reported here can be reproduced with a single command.</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Question Answering, Knowledge Graph, Ontology, Reproducibility, Cross-lingual Transfer</w:t>
      </w:r>
    </w:p>
    <w:p>
      <w:pPr>
        <w:pStyle w:val="Heading1"/>
        <w:spacing w:lineRule="auto" w:line="360" w:after="160"/>
        <w:jc w:val="center"/>
      </w:pPr>
      <w:r>
        <w:rPr>
          <w:rFonts w:ascii="바탕" w:hAnsi="바탕" w:eastAsia="바탕"/>
          <w:b/>
          <w:sz w:val="28"/>
        </w:rPr>
        <w:t>참고문헌</w:t>
      </w:r>
    </w:p>
    <w:p>
      <w:pPr>
        <w:spacing w:lineRule="auto" w:line="360" w:after="0"/>
        <w:ind w:left="567"/>
      </w:pPr>
      <w:r>
        <w:rPr>
          <w:rFonts w:ascii="바탕" w:hAnsi="바탕" w:eastAsia="바탕"/>
          <w:b w:val="0"/>
          <w:sz w:val="20"/>
        </w:rPr>
        <w:t>▸ IEEE style. The list contains all works cited in the body and selected sources required for reproducing or contextualizing this dissertation. Within a single category, multi-author publications by the same lead author are ordered by year (descending).</w:t>
      </w:r>
    </w:p>
    <w:p>
      <w:pPr>
        <w:pStyle w:val="Heading2"/>
        <w:spacing w:lineRule="auto" w:line="360" w:after="160"/>
      </w:pPr>
      <w:r>
        <w:rPr>
          <w:rFonts w:ascii="바탕" w:hAnsi="바탕" w:eastAsia="바탕"/>
          <w:b/>
          <w:sz w:val="24"/>
        </w:rPr>
        <w:t>[1] Prior and Directly Related Work</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vol. 30, 2025. [Code and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(this dissertation)</w:t>
      </w:r>
    </w:p>
    <w:p>
      <w:pPr>
        <w:pStyle w:val="Heading2"/>
        <w:spacing w:lineRule="auto" w:line="360" w:after="160"/>
      </w:pPr>
      <w:r>
        <w:rPr>
          <w:rFonts w:ascii="바탕" w:hAnsi="바탕" w:eastAsia="바탕"/>
          <w:b/>
          <w:sz w:val="24"/>
        </w:rPr>
        <w:t>[2] RAG Foundations and Evolution</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480" w:after="0"/>
      </w:pPr>
      <w:r>
        <w:rPr>
          <w:rFonts w:ascii="바탕" w:hAnsi="바탕" w:eastAsia="바탕"/>
          <w:b w:val="0"/>
          <w:sz w:val="21"/>
        </w:rPr>
        <w:t>[5] K. Guu, K. Lee, Z. Tung, P. Pasupat, and M.-W. Chang, "REALM: Retrieval-Augmented Language Model Pre-Training," in Proc. ICML, 2020.</w:t>
      </w:r>
    </w:p>
    <w:p>
      <w:pPr>
        <w:spacing w:lineRule="auto" w:line="480" w:after="0"/>
      </w:pPr>
      <w:r>
        <w:rPr>
          <w:rFonts w:ascii="바탕" w:hAnsi="바탕" w:eastAsia="바탕"/>
          <w:b w:val="0"/>
          <w:sz w:val="21"/>
        </w:rPr>
        <w:t>[6] V. Karpukhin, B. Oguz, S. Min, P. Lewis, L. Wu, S. Edunov, D. Chen, and W.-T. Yih, "Dense Passage Retrieval for Open-Domain Question Answering," in Proc. EMNLP, pp. 6769–6781, 2020.</w:t>
      </w:r>
    </w:p>
    <w:p>
      <w:pPr>
        <w:spacing w:lineRule="auto" w:line="480" w:after="0"/>
      </w:pPr>
      <w:r>
        <w:rPr>
          <w:rFonts w:ascii="바탕" w:hAnsi="바탕" w:eastAsia="바탕"/>
          <w:b w:val="0"/>
          <w:sz w:val="21"/>
        </w:rPr>
        <w:t>[7] G. Izacard and E. Grave, "Leveraging Passage Retrieval with Generative Models for Open Domain Question Answering (FiD)," in Proc. EACL, pp. 874–880, 2021.</w:t>
      </w:r>
    </w:p>
    <w:p>
      <w:pPr>
        <w:spacing w:lineRule="auto" w:line="480" w:after="0"/>
      </w:pPr>
      <w:r>
        <w:rPr>
          <w:rFonts w:ascii="바탕" w:hAnsi="바탕" w:eastAsia="바탕"/>
          <w:b w:val="0"/>
          <w:sz w:val="21"/>
        </w:rPr>
        <w:t>[8] S. Borgeaud, A. Mensch, J. Hoffmann, T. Cai, E. Rutherford, K. Millican, et al., "Improving Language Models by Retrieving from Trillions of Tokens (RETRO)," in Proc. ICML, 2022.</w:t>
      </w:r>
    </w:p>
    <w:p>
      <w:pPr>
        <w:spacing w:lineRule="auto" w:line="480" w:after="0"/>
      </w:pPr>
      <w:r>
        <w:rPr>
          <w:rFonts w:ascii="바탕" w:hAnsi="바탕" w:eastAsia="바탕"/>
          <w:b w:val="0"/>
          <w:sz w:val="21"/>
        </w:rPr>
        <w:t>[9] U. Khandelwal, O. Levy, D. Jurafsky, L. Zettlemoyer, and M. Lewis, "Generalization through Memorization: Nearest Neighbor Language Models (kNN-LM)," in Int. Conf. on Learning Representations (ICLR), 2020.</w:t>
      </w:r>
    </w:p>
    <w:p>
      <w:pPr>
        <w:spacing w:lineRule="auto" w:line="480" w:after="0"/>
      </w:pPr>
      <w:r>
        <w:rPr>
          <w:rFonts w:ascii="바탕" w:hAnsi="바탕" w:eastAsia="바탕"/>
          <w:b w:val="0"/>
          <w:sz w:val="21"/>
        </w:rPr>
        <w:t>[10] G. Izacard, P. Lewis, M. Lomeli, L. Hosseini, F. Petroni, T. Schick, J. Dwivedi-Yu, A. Joulin, S. Riedel, and E. Grave, "Atlas: Few-shot Learning with Retrieval Augmented Language Models," Journal of Machine Learning Research (JMLR), 2023.</w:t>
      </w:r>
    </w:p>
    <w:p>
      <w:pPr>
        <w:spacing w:lineRule="auto" w:line="480" w:after="0"/>
      </w:pPr>
      <w:r>
        <w:rPr>
          <w:rFonts w:ascii="바탕" w:hAnsi="바탕" w:eastAsia="바탕"/>
          <w:b w:val="0"/>
          <w:sz w:val="21"/>
        </w:rPr>
        <w:t>[11] T. Zhang, S. G. Patil, N. Jain, S. Shen, M. Zaharia, I. Stoica, and J. E. Gonzalez, "RAFT: Adapting Language Model to Domain Specific RAG," arXiv preprint arXiv:2403.10131, 2024.</w:t>
      </w:r>
    </w:p>
    <w:p>
      <w:pPr>
        <w:spacing w:lineRule="auto" w:line="480" w:after="0"/>
      </w:pPr>
      <w:r>
        <w:rPr>
          <w:rFonts w:ascii="바탕" w:hAnsi="바탕" w:eastAsia="바탕"/>
          <w:b w:val="0"/>
          <w:sz w:val="21"/>
        </w:rPr>
        <w:t>[12] B. Sarmah, B. Hall, R. Rao, S. Patel, S. Pasquali, and D. Mehta, "HybridRAG: Integrating Knowledge Graphs and Vector Retrieval Augmented Generation for Efficient Information Extraction," arXiv preprint arXiv:2408.04948, 2024.</w:t>
      </w:r>
    </w:p>
    <w:p>
      <w:pPr>
        <w:pStyle w:val="Heading2"/>
        <w:spacing w:lineRule="auto" w:line="360" w:after="160"/>
      </w:pPr>
      <w:r>
        <w:rPr>
          <w:rFonts w:ascii="바탕" w:hAnsi="바탕" w:eastAsia="바탕"/>
          <w:b/>
          <w:sz w:val="24"/>
        </w:rPr>
        <w:t>[3] GraphRAG and Structured Knowledge Integration</w:t>
      </w:r>
    </w:p>
    <w:p>
      <w:pPr>
        <w:spacing w:lineRule="auto" w:line="480" w:after="0"/>
      </w:pPr>
      <w:r>
        <w:rPr>
          <w:rFonts w:ascii="바탕" w:hAnsi="바탕" w:eastAsia="바탕"/>
          <w:b w:val="0"/>
          <w:sz w:val="21"/>
        </w:rPr>
        <w:t>[13]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[14] Z. Guo, L. Xia, Y. Yu, T. Ao, and C. Huang, "LightRAG: Simple and Fast Retrieval-Augmented Generation," arXiv preprint arXiv:2410.05779, 2024.</w:t>
      </w:r>
    </w:p>
    <w:p>
      <w:pPr>
        <w:spacing w:lineRule="auto" w:line="480" w:after="0"/>
      </w:pPr>
      <w:r>
        <w:rPr>
          <w:rFonts w:ascii="바탕" w:hAnsi="바탕" w:eastAsia="바탕"/>
          <w:b w:val="0"/>
          <w:sz w:val="21"/>
        </w:rPr>
        <w:t>[15] J. Sun, C. Xu, L. Tang, S. Wang, C. Lin, Y. Gong, L. M. Ni, H.-Y. Shum, and J. Guo, "Think-on-Graph: Deep and Responsible Reasoning of Large Language Models on Knowledge Graph," in Int. Conf. on Learning Representations (ICLR), 2024.</w:t>
      </w:r>
    </w:p>
    <w:p>
      <w:pPr>
        <w:spacing w:lineRule="auto" w:line="480" w:after="0"/>
      </w:pPr>
      <w:r>
        <w:rPr>
          <w:rFonts w:ascii="바탕" w:hAnsi="바탕" w:eastAsia="바탕"/>
          <w:b w:val="0"/>
          <w:sz w:val="21"/>
        </w:rPr>
        <w:t>[16] X. He, Y. Tian, Y. Sun, N. V. Chawla, T. Laurent, Y. LeCun, X. Bresson, and B. Hooi, "G-Retriever: Retrieval-Augmented Generation for Textual Graph Understanding and Question Answering," in NeurIPS, 2024.</w:t>
      </w:r>
    </w:p>
    <w:p>
      <w:pPr>
        <w:spacing w:lineRule="auto" w:line="480" w:after="0"/>
      </w:pPr>
      <w:r>
        <w:rPr>
          <w:rFonts w:ascii="바탕" w:hAnsi="바탕" w:eastAsia="바탕"/>
          <w:b w:val="0"/>
          <w:sz w:val="21"/>
        </w:rPr>
        <w:t>[17] M. Yasunaga, H. Ren, A. Bosselut, P. Liang, and J. Leskovec, "QA-GNN: Reasoning with Language Models and Knowledge Graphs for Question Answering," in Proc. NAACL-HLT, pp. 535–546, 2021.</w:t>
      </w:r>
    </w:p>
    <w:p>
      <w:pPr>
        <w:spacing w:lineRule="auto" w:line="480" w:after="0"/>
      </w:pPr>
      <w:r>
        <w:rPr>
          <w:rFonts w:ascii="바탕" w:hAnsi="바탕" w:eastAsia="바탕"/>
          <w:b w:val="0"/>
          <w:sz w:val="21"/>
        </w:rPr>
        <w:t>[18] A. Bordes, N. Usunier, A. Garcia-Durán, J. Weston, and O. Yakhnenko, "Translating Embeddings for Modeling Multi-relational Data (TransE)," in NeurIPS, vol. 26, pp. 2787–2795, 2013.</w:t>
      </w:r>
    </w:p>
    <w:p>
      <w:pPr>
        <w:spacing w:lineRule="auto" w:line="480" w:after="0"/>
      </w:pPr>
      <w:r>
        <w:rPr>
          <w:rFonts w:ascii="바탕" w:hAnsi="바탕" w:eastAsia="바탕"/>
          <w:b w:val="0"/>
          <w:sz w:val="21"/>
        </w:rPr>
        <w:t>[19] B. Peng, Y. Zhu, Y. Liu, X. Bo, H. Shi, C. Hong, Y. Zhang, and S. Tang, "Graph Retrieval-Augmented Generation: A Survey," arXiv preprint arXiv:2408.08921, 2024.</w:t>
      </w:r>
    </w:p>
    <w:p>
      <w:pPr>
        <w:pStyle w:val="Heading2"/>
        <w:spacing w:lineRule="auto" w:line="360" w:after="160"/>
      </w:pPr>
      <w:r>
        <w:rPr>
          <w:rFonts w:ascii="바탕" w:hAnsi="바탕" w:eastAsia="바탕"/>
          <w:b/>
          <w:sz w:val="24"/>
        </w:rPr>
        <w:t>[4] Self-Reflective and Corrective RAG</w:t>
      </w:r>
    </w:p>
    <w:p>
      <w:pPr>
        <w:spacing w:lineRule="auto" w:line="480" w:after="0"/>
      </w:pPr>
      <w:r>
        <w:rPr>
          <w:rFonts w:ascii="바탕" w:hAnsi="바탕" w:eastAsia="바탕"/>
          <w:b w:val="0"/>
          <w:sz w:val="21"/>
        </w:rPr>
        <w:t>[20]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[21] S. Yan, J. Gu, Y. Zhu, and Z. Ling, "Corrective Retrieval Augmented Generation (CRAG)," arXiv preprint arXiv:2401.15884, 2024.</w:t>
      </w:r>
    </w:p>
    <w:p>
      <w:pPr>
        <w:spacing w:lineRule="auto" w:line="480" w:after="0"/>
      </w:pPr>
      <w:r>
        <w:rPr>
          <w:rFonts w:ascii="바탕" w:hAnsi="바탕" w:eastAsia="바탕"/>
          <w:b w:val="0"/>
          <w:sz w:val="21"/>
        </w:rPr>
        <w:t>[22] A. Madaan, N. Tandon, P. Gupta, S. Hallinan, L. Gao, S. Wiegreffe, U. Alon, et al., "Self-Refine: Iterative Refinement with Self-Feedback," in NeurIPS, 2023.</w:t>
      </w:r>
    </w:p>
    <w:p>
      <w:pPr>
        <w:spacing w:lineRule="auto" w:line="480" w:after="0"/>
      </w:pPr>
      <w:r>
        <w:rPr>
          <w:rFonts w:ascii="바탕" w:hAnsi="바탕" w:eastAsia="바탕"/>
          <w:b w:val="0"/>
          <w:sz w:val="21"/>
        </w:rPr>
        <w:t>[23] N. Shinn, F. Cassano, E. Berman, A. Gopinath, K. Narasimhan, and S. Yao, "Reflexion: Language Agents with Verbal Reinforcement Learning," in NeurIPS, 2023.</w:t>
      </w:r>
    </w:p>
    <w:p>
      <w:pPr>
        <w:spacing w:lineRule="auto" w:line="480" w:after="0"/>
      </w:pPr>
      <w:r>
        <w:rPr>
          <w:rFonts w:ascii="바탕" w:hAnsi="바탕" w:eastAsia="바탕"/>
          <w:b w:val="0"/>
          <w:sz w:val="21"/>
        </w:rPr>
        <w:t>[24] X. Wang, J. Wei, D. Schuurmans, Q. V. Le, E. H. Chi, S. Narang, A. Chowdhery, and D. Zhou, "Self-Consistency Improves Chain of Thought Reasoning in Language Models," in Int. Conf. on Learning Representations (ICLR), 2023.</w:t>
      </w:r>
    </w:p>
    <w:p>
      <w:pPr>
        <w:spacing w:lineRule="auto" w:line="480" w:after="0"/>
      </w:pPr>
      <w:r>
        <w:rPr>
          <w:rFonts w:ascii="바탕" w:hAnsi="바탕" w:eastAsia="바탕"/>
          <w:b w:val="0"/>
          <w:sz w:val="21"/>
        </w:rPr>
        <w:t>[25] S. Yao, J. Zhao, D. Yu, N. Du, I. Shafran, K. Narasimhan, and Y. Cao, "ReAct: Synergizing Reasoning and Acting in Language Models," in Int. Conf. on Learning Representations (ICLR), 2023.</w:t>
      </w:r>
    </w:p>
    <w:p>
      <w:pPr>
        <w:pStyle w:val="Heading2"/>
        <w:spacing w:lineRule="auto" w:line="360" w:after="160"/>
      </w:pPr>
      <w:r>
        <w:rPr>
          <w:rFonts w:ascii="바탕" w:hAnsi="바탕" w:eastAsia="바탕"/>
          <w:b/>
          <w:sz w:val="24"/>
        </w:rPr>
        <w:t>[5] Adaptive Retrieval and Routing</w:t>
      </w:r>
    </w:p>
    <w:p>
      <w:pPr>
        <w:spacing w:lineRule="auto" w:line="480" w:after="0"/>
      </w:pPr>
      <w:r>
        <w:rPr>
          <w:rFonts w:ascii="바탕" w:hAnsi="바탕" w:eastAsia="바탕"/>
          <w:b w:val="0"/>
          <w:sz w:val="21"/>
        </w:rPr>
        <w:t>[26]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[27] O. Press, M. Zhang, S. Min, L. Schmidt, N. A. Smith, and M. Lewis, "Measuring and Narrowing the Compositionality Gap in Language Models (Self-Ask)," in Findings of EMNLP, 2023.</w:t>
      </w:r>
    </w:p>
    <w:p>
      <w:pPr>
        <w:spacing w:lineRule="auto" w:line="480" w:after="0"/>
      </w:pPr>
      <w:r>
        <w:rPr>
          <w:rFonts w:ascii="바탕" w:hAnsi="바탕" w:eastAsia="바탕"/>
          <w:b w:val="0"/>
          <w:sz w:val="21"/>
        </w:rPr>
        <w:t>[28] A. Mallen, A. Asai, V. Zhong, R. Das, D. Khashabi, and H. Hajishirzi, "When Not to Trust Language Models: Investigating Effectiveness of Parametric and Non-Parametric Memories," in Proc. ACL, 2023.</w:t>
      </w:r>
    </w:p>
    <w:p>
      <w:pPr>
        <w:spacing w:lineRule="auto" w:line="480" w:after="0"/>
      </w:pPr>
      <w:r>
        <w:rPr>
          <w:rFonts w:ascii="바탕" w:hAnsi="바탕" w:eastAsia="바탕"/>
          <w:b w:val="0"/>
          <w:sz w:val="21"/>
        </w:rPr>
        <w:t>[29] X. Ma, Y. Gong, P. He, H. Zhao, and N. Duan, "Query Rewriting for Retrieval-Augmented Large Language Models," in Proc. EMNLP, 2023.</w:t>
      </w:r>
    </w:p>
    <w:p>
      <w:pPr>
        <w:spacing w:lineRule="auto" w:line="480" w:after="0"/>
      </w:pPr>
      <w:r>
        <w:rPr>
          <w:rFonts w:ascii="바탕" w:hAnsi="바탕" w:eastAsia="바탕"/>
          <w:b w:val="0"/>
          <w:sz w:val="21"/>
        </w:rPr>
        <w:t>[30] H. Trivedi, N. Balasubramanian, T. Khot, and A. Sabharwal, "Interleaving Retrieval with Chain-of-Thought Reasoning for Knowledge-Intensive Multi-Step Questions (IRCoT)," in Proc. ACL, 2023.</w:t>
      </w:r>
    </w:p>
    <w:p>
      <w:pPr>
        <w:pStyle w:val="Heading2"/>
        <w:spacing w:lineRule="auto" w:line="360" w:after="160"/>
      </w:pPr>
      <w:r>
        <w:rPr>
          <w:rFonts w:ascii="바탕" w:hAnsi="바탕" w:eastAsia="바탕"/>
          <w:b/>
          <w:sz w:val="24"/>
        </w:rPr>
        <w:t>[6] Information Retrieval Foundations</w:t>
      </w:r>
    </w:p>
    <w:p>
      <w:pPr>
        <w:spacing w:lineRule="auto" w:line="480" w:after="0"/>
      </w:pPr>
      <w:r>
        <w:rPr>
          <w:rFonts w:ascii="바탕" w:hAnsi="바탕" w:eastAsia="바탕"/>
          <w:b w:val="0"/>
          <w:sz w:val="21"/>
        </w:rPr>
        <w:t>[31] S. Robertson and H. Zaragoza, "The Probabilistic Relevance Framework: BM25 and Beyond," Foundations and Trends in Information Retrieval, vol. 3, no. 4, pp. 333–389, 2009.</w:t>
      </w:r>
    </w:p>
    <w:p>
      <w:pPr>
        <w:spacing w:lineRule="auto" w:line="480" w:after="0"/>
      </w:pPr>
      <w:r>
        <w:rPr>
          <w:rFonts w:ascii="바탕" w:hAnsi="바탕" w:eastAsia="바탕"/>
          <w:b w:val="0"/>
          <w:sz w:val="21"/>
        </w:rPr>
        <w:t>[32] O. Khattab and M. Zaharia, "ColBERT: Efficient and Effective Passage Search via Contextualized Late Interaction over BERT," in Proc. SIGIR, pp. 39–48, 2020.</w:t>
      </w:r>
    </w:p>
    <w:p>
      <w:pPr>
        <w:spacing w:lineRule="auto" w:line="480" w:after="0"/>
      </w:pPr>
      <w:r>
        <w:rPr>
          <w:rFonts w:ascii="바탕" w:hAnsi="바탕" w:eastAsia="바탕"/>
          <w:b w:val="0"/>
          <w:sz w:val="21"/>
        </w:rPr>
        <w:t>[33] K. Santhanam, O. Khattab, J. Saad-Falcon, C. Potts, and M. Zaharia, "ColBERTv2: Effective and Efficient Retrieval via Lightweight Late Interaction," in Proc. NAACL-HLT, 2022.</w:t>
      </w:r>
    </w:p>
    <w:p>
      <w:pPr>
        <w:spacing w:lineRule="auto" w:line="480" w:after="0"/>
      </w:pPr>
      <w:r>
        <w:rPr>
          <w:rFonts w:ascii="바탕" w:hAnsi="바탕" w:eastAsia="바탕"/>
          <w:b w:val="0"/>
          <w:sz w:val="21"/>
        </w:rPr>
        <w:t>[34] G. Izacard, M. Caron, L. Hosseini, S. Riedel, P. Bojanowski, A. Joulin, and E. Grave, "Unsupervised Dense Information Retrieval with Contrastive Learning (Contriever)," Transactions on Machine Learning Research (TMLR), 2022.</w:t>
      </w:r>
    </w:p>
    <w:p>
      <w:pPr>
        <w:spacing w:lineRule="auto" w:line="480" w:after="0"/>
      </w:pPr>
      <w:r>
        <w:rPr>
          <w:rFonts w:ascii="바탕" w:hAnsi="바탕" w:eastAsia="바탕"/>
          <w:b w:val="0"/>
          <w:sz w:val="21"/>
        </w:rPr>
        <w:t>[35] L. Wang, N. Yang, X. Huang, B. Jiao, L. Yang, D. Jiang, R. Majumder, and F. Wei, "Text Embeddings by Weakly-Supervised Contrastive Pre-training (E5)," arXiv preprint arXiv:2212.03533, 2022.</w:t>
      </w:r>
    </w:p>
    <w:p>
      <w:pPr>
        <w:spacing w:lineRule="auto" w:line="480" w:after="0"/>
      </w:pPr>
      <w:r>
        <w:rPr>
          <w:rFonts w:ascii="바탕" w:hAnsi="바탕" w:eastAsia="바탕"/>
          <w:b w:val="0"/>
          <w:sz w:val="21"/>
        </w:rPr>
        <w:t>[36] S. Xiao, Z. Liu, P. Zhang, N. Muennighoff, D. Lian, and J.-Y. Nie, "C-Pack: Packed Resources For General Chinese Embeddings (BGE)," arXiv preprint arXiv:2309.07597, 2023.</w:t>
      </w:r>
    </w:p>
    <w:p>
      <w:pPr>
        <w:pStyle w:val="Heading2"/>
        <w:spacing w:lineRule="auto" w:line="360" w:after="160"/>
      </w:pPr>
      <w:r>
        <w:rPr>
          <w:rFonts w:ascii="바탕" w:hAnsi="바탕" w:eastAsia="바탕"/>
          <w:b/>
          <w:sz w:val="24"/>
        </w:rPr>
        <w:t>[7] Reinforcement Learning Foundations and PPO</w:t>
      </w:r>
    </w:p>
    <w:p>
      <w:pPr>
        <w:spacing w:lineRule="auto" w:line="480" w:after="0"/>
      </w:pPr>
      <w:r>
        <w:rPr>
          <w:rFonts w:ascii="바탕" w:hAnsi="바탕" w:eastAsia="바탕"/>
          <w:b w:val="0"/>
          <w:sz w:val="21"/>
        </w:rPr>
        <w:t>[37] J. Schulman, S. Levine, P. Abbeel, M. Jordan, and P. Moritz, "Trust Region Policy Optimization (TRPO)," in Proc. ICML, 2015.</w:t>
      </w:r>
    </w:p>
    <w:p>
      <w:pPr>
        <w:spacing w:lineRule="auto" w:line="480" w:after="0"/>
      </w:pPr>
      <w:r>
        <w:rPr>
          <w:rFonts w:ascii="바탕" w:hAnsi="바탕" w:eastAsia="바탕"/>
          <w:b w:val="0"/>
          <w:sz w:val="21"/>
        </w:rPr>
        <w:t>[38]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[39] J. Schulman, F. Wolski, P. Dhariwal, A. Radford, and O. Klimov, "Proximal Policy Optimization Algorithms," arXiv preprint arXiv:1707.06347, 2017.</w:t>
      </w:r>
    </w:p>
    <w:p>
      <w:pPr>
        <w:spacing w:lineRule="auto" w:line="480" w:after="0"/>
      </w:pPr>
      <w:r>
        <w:rPr>
          <w:rFonts w:ascii="바탕" w:hAnsi="바탕" w:eastAsia="바탕"/>
          <w:b w:val="0"/>
          <w:sz w:val="21"/>
        </w:rPr>
        <w:t>[40] V. Mnih, K. Kavukcuoglu, D. Silver, A. Graves, I. Antonoglou, D. Wierstra, and M. Riedmiller, "Playing Atari with Deep Reinforcement Learning (DQN)," arXiv preprint arXiv:1312.5602, 2013.</w:t>
      </w:r>
    </w:p>
    <w:p>
      <w:pPr>
        <w:spacing w:lineRule="auto" w:line="480" w:after="0"/>
      </w:pPr>
      <w:r>
        <w:rPr>
          <w:rFonts w:ascii="바탕" w:hAnsi="바탕" w:eastAsia="바탕"/>
          <w:b w:val="0"/>
          <w:sz w:val="21"/>
        </w:rPr>
        <w:t>[41] V. Mnih, A. P. Badia, M. Mirza, A. Graves, T. P. Lillicrap, T. Harley, D. Silver, and K. Kavukcuoglu, "Asynchronous Methods for Deep Reinforcement Learning (A3C)," in Proc. ICML, 2016.</w:t>
      </w:r>
    </w:p>
    <w:p>
      <w:pPr>
        <w:spacing w:lineRule="auto" w:line="480" w:after="0"/>
      </w:pPr>
      <w:r>
        <w:rPr>
          <w:rFonts w:ascii="바탕" w:hAnsi="바탕" w:eastAsia="바탕"/>
          <w:b w:val="0"/>
          <w:sz w:val="21"/>
        </w:rPr>
        <w:t>[42] T. Haarnoja, A. Zhou, P. Abbeel, and S. Levine, "Soft Actor-Critic: Off-Policy Maximum Entropy Deep Reinforcement Learning with a Stochastic Actor," in Proc. ICML, 2018.</w:t>
      </w:r>
    </w:p>
    <w:p>
      <w:pPr>
        <w:spacing w:lineRule="auto" w:line="480" w:after="0"/>
      </w:pPr>
      <w:r>
        <w:rPr>
          <w:rFonts w:ascii="바탕" w:hAnsi="바탕" w:eastAsia="바탕"/>
          <w:b w:val="0"/>
          <w:sz w:val="21"/>
        </w:rPr>
        <w:t>[43] R. J. Williams, "Simple Statistical Gradient-Following Algorithms for Connectionist Reinforcement Learning (REINFORCE)," Machine Learning, vol. 8, no. 3-4, pp. 229–256, 1992.</w:t>
      </w:r>
    </w:p>
    <w:p>
      <w:pPr>
        <w:spacing w:lineRule="auto" w:line="480" w:after="0"/>
      </w:pPr>
      <w:r>
        <w:rPr>
          <w:rFonts w:ascii="바탕" w:hAnsi="바탕" w:eastAsia="바탕"/>
          <w:b w:val="0"/>
          <w:sz w:val="21"/>
        </w:rPr>
        <w:t>[44] R. S. Sutton and A. G. Barto, Reinforcement Learning: An Introduction, 2nd ed. Cambridge, MA: MIT Press, 2018.</w:t>
      </w:r>
    </w:p>
    <w:p>
      <w:pPr>
        <w:spacing w:lineRule="auto" w:line="480" w:after="0"/>
      </w:pPr>
      <w:r>
        <w:rPr>
          <w:rFonts w:ascii="바탕" w:hAnsi="바탕" w:eastAsia="바탕"/>
          <w:b w:val="0"/>
          <w:sz w:val="21"/>
        </w:rPr>
        <w:t>[45] L. Engstrom, A. Ilyas, S. Santurkar, D. Tsipras, F. Janoos, L. Rudolph, and A. Madry, "Implementation Matters in Deep Policy Gradients: A Case Study on PPO and TRPO," in Int. Conf. on Learning Representations (ICLR), 2020.</w:t>
      </w:r>
    </w:p>
    <w:p>
      <w:pPr>
        <w:spacing w:lineRule="auto" w:line="480" w:after="0"/>
      </w:pPr>
      <w:r>
        <w:rPr>
          <w:rFonts w:ascii="바탕" w:hAnsi="바탕" w:eastAsia="바탕"/>
          <w:b w:val="0"/>
          <w:sz w:val="21"/>
        </w:rPr>
        <w:t>[46] A. Raffin, A. Hill, A. Gleave, A. Kanervisto, M. Ernestus, and N. Dormann, "Stable-Baselines3: Reliable Reinforcement Learning Implementations," Journal of Machine Learning Research (JMLR), vol. 22, pp. 1–8, 2021.</w:t>
      </w:r>
    </w:p>
    <w:p>
      <w:pPr>
        <w:pStyle w:val="Heading2"/>
        <w:spacing w:lineRule="auto" w:line="360" w:after="160"/>
      </w:pPr>
      <w:r>
        <w:rPr>
          <w:rFonts w:ascii="바탕" w:hAnsi="바탕" w:eastAsia="바탕"/>
          <w:b/>
          <w:sz w:val="24"/>
        </w:rPr>
        <w:t>[8] RLHF, DPO, and LLM Alignment</w:t>
      </w:r>
    </w:p>
    <w:p>
      <w:pPr>
        <w:spacing w:lineRule="auto" w:line="480" w:after="0"/>
      </w:pPr>
      <w:r>
        <w:rPr>
          <w:rFonts w:ascii="바탕" w:hAnsi="바탕" w:eastAsia="바탕"/>
          <w:b w:val="0"/>
          <w:sz w:val="21"/>
        </w:rPr>
        <w:t>[47] P. F. Christiano, J. Leike, T. B. Brown, M. Martic, S. Legg, and D. Amodei, "Deep Reinforcement Learning from Human Preferences," in NeurIPS, vol. 30, 2017.</w:t>
      </w:r>
    </w:p>
    <w:p>
      <w:pPr>
        <w:spacing w:lineRule="auto" w:line="480" w:after="0"/>
      </w:pPr>
      <w:r>
        <w:rPr>
          <w:rFonts w:ascii="바탕" w:hAnsi="바탕" w:eastAsia="바탕"/>
          <w:b w:val="0"/>
          <w:sz w:val="21"/>
        </w:rPr>
        <w:t>[48] N. Stiennon, L. Ouyang, J. Wu, D. M. Ziegler, R. Lowe, C. Voss, A. Radford, D. Amodei, and P. Christiano, "Learning to Summarize from Human Feedback," in NeurIPS, 2020.</w:t>
      </w:r>
    </w:p>
    <w:p>
      <w:pPr>
        <w:spacing w:lineRule="auto" w:line="480" w:after="0"/>
      </w:pPr>
      <w:r>
        <w:rPr>
          <w:rFonts w:ascii="바탕" w:hAnsi="바탕" w:eastAsia="바탕"/>
          <w:b w:val="0"/>
          <w:sz w:val="21"/>
        </w:rPr>
        <w:t>[49] L. Ouyang, J. Wu, X. Jiang, D. Almeida, C. Wainwright, P. Mishkin, et al., "Training Language Models to Follow Instructions with Human Feedback (InstructGPT)," in NeurIPS, 2022.</w:t>
      </w:r>
    </w:p>
    <w:p>
      <w:pPr>
        <w:spacing w:lineRule="auto" w:line="480" w:after="0"/>
      </w:pPr>
      <w:r>
        <w:rPr>
          <w:rFonts w:ascii="바탕" w:hAnsi="바탕" w:eastAsia="바탕"/>
          <w:b w:val="0"/>
          <w:sz w:val="21"/>
        </w:rPr>
        <w:t>[50] R. Rafailov, A. Sharma, E. Mitchell, C. D. Manning, S. Ermon, and C. Finn, "Direct Preference Optimization: Your Language Model is Secretly a Reward Model (DPO)," in NeurIPS, 2023.</w:t>
      </w:r>
    </w:p>
    <w:p>
      <w:pPr>
        <w:spacing w:lineRule="auto" w:line="480" w:after="0"/>
      </w:pPr>
      <w:r>
        <w:rPr>
          <w:rFonts w:ascii="바탕" w:hAnsi="바탕" w:eastAsia="바탕"/>
          <w:b w:val="0"/>
          <w:sz w:val="21"/>
        </w:rPr>
        <w:t>[51] Y. Bai, S. Kadavath, S. Kundu, A. Askell, J. Kernion, A. Jones, et al., "Constitutional AI: Harmlessness from AI Feedback," arXiv preprint arXiv:2212.08073, 2022.</w:t>
      </w:r>
    </w:p>
    <w:p>
      <w:pPr>
        <w:spacing w:lineRule="auto" w:line="480" w:after="0"/>
      </w:pPr>
      <w:r>
        <w:rPr>
          <w:rFonts w:ascii="바탕" w:hAnsi="바탕" w:eastAsia="바탕"/>
          <w:b w:val="0"/>
          <w:sz w:val="21"/>
        </w:rPr>
        <w:t>[52] W. Yuan, R. Y. Pang, K. Cho, X. Li, S. Sukhbaatar, J. Xu, and J. Weston, "Self-Rewarding Language Models," in Proc. ICML, 2024.</w:t>
      </w:r>
    </w:p>
    <w:p>
      <w:pPr>
        <w:spacing w:lineRule="auto" w:line="480" w:after="0"/>
      </w:pPr>
      <w:r>
        <w:rPr>
          <w:rFonts w:ascii="바탕" w:hAnsi="바탕" w:eastAsia="바탕"/>
          <w:b w:val="0"/>
          <w:sz w:val="21"/>
        </w:rPr>
        <w:t>[53] H. Dong, W. Xiong, D. Goyal, Y. Zhang, W. Chow, R. Pan, S. Diao, J. Zhang, K. Shum, and T. Zhang, "RAFT: Reward rAnked FineTuning for Generative Foundation Model Alignment," Transactions on Machine Learning Research (TMLR), 2023.</w:t>
      </w:r>
    </w:p>
    <w:p>
      <w:pPr>
        <w:pStyle w:val="Heading2"/>
        <w:spacing w:lineRule="auto" w:line="360" w:after="160"/>
      </w:pPr>
      <w:r>
        <w:rPr>
          <w:rFonts w:ascii="바탕" w:hAnsi="바탕" w:eastAsia="바탕"/>
          <w:b/>
          <w:sz w:val="24"/>
        </w:rPr>
        <w:t>[9] Large Language Models</w:t>
      </w:r>
    </w:p>
    <w:p>
      <w:pPr>
        <w:spacing w:lineRule="auto" w:line="480" w:after="0"/>
      </w:pPr>
      <w:r>
        <w:rPr>
          <w:rFonts w:ascii="바탕" w:hAnsi="바탕" w:eastAsia="바탕"/>
          <w:b w:val="0"/>
          <w:sz w:val="21"/>
        </w:rPr>
        <w:t>[54] T. B. Brown, B. Mann, N. Ryder, M. Subbiah, J. Kaplan, P. Dhariwal, et al., "Language Models are Few-Shot Learners (GPT-3)," in NeurIPS, vol. 33, pp. 1877–1901, 2020.</w:t>
      </w:r>
    </w:p>
    <w:p>
      <w:pPr>
        <w:spacing w:lineRule="auto" w:line="480" w:after="0"/>
      </w:pPr>
      <w:r>
        <w:rPr>
          <w:rFonts w:ascii="바탕" w:hAnsi="바탕" w:eastAsia="바탕"/>
          <w:b w:val="0"/>
          <w:sz w:val="21"/>
        </w:rPr>
        <w:t>[55] OpenAI, "GPT-4 Technical Report," arXiv preprint arXiv:2303.08774, 2023.</w:t>
      </w:r>
    </w:p>
    <w:p>
      <w:pPr>
        <w:spacing w:lineRule="auto" w:line="480" w:after="0"/>
      </w:pPr>
      <w:r>
        <w:rPr>
          <w:rFonts w:ascii="바탕" w:hAnsi="바탕" w:eastAsia="바탕"/>
          <w:b w:val="0"/>
          <w:sz w:val="21"/>
        </w:rPr>
        <w:t>[56] H. Touvron, T. Lavril, G. Izacard, X. Martinet, M.-A. Lachaux, T. Lacroix, et al., "LLaMA: Open and Efficient Foundation Language Models," arXiv preprint arXiv:2302.13971, 2023.</w:t>
      </w:r>
    </w:p>
    <w:p>
      <w:pPr>
        <w:spacing w:lineRule="auto" w:line="480" w:after="0"/>
      </w:pPr>
      <w:r>
        <w:rPr>
          <w:rFonts w:ascii="바탕" w:hAnsi="바탕" w:eastAsia="바탕"/>
          <w:b w:val="0"/>
          <w:sz w:val="21"/>
        </w:rPr>
        <w:t>[57] H. Touvron, L. Martin, K. Stone, P. Albert, A. Almahairi, Y. Babaei, et al., "Llama 2: Open Foundation and Fine-Tuned Chat Models," arXiv preprint arXiv:2307.09288, 2023.</w:t>
      </w:r>
    </w:p>
    <w:p>
      <w:pPr>
        <w:spacing w:lineRule="auto" w:line="480" w:after="0"/>
      </w:pPr>
      <w:r>
        <w:rPr>
          <w:rFonts w:ascii="바탕" w:hAnsi="바탕" w:eastAsia="바탕"/>
          <w:b w:val="0"/>
          <w:sz w:val="21"/>
        </w:rPr>
        <w:t>[58] A. Q. Jiang, A. Sablayrolles, A. Mensch, C. Bamford, D. S. Chaplot, D. de las Casas, et al., "Mistral 7B," arXiv preprint arXiv:2310.06825, 2023.</w:t>
      </w:r>
    </w:p>
    <w:p>
      <w:pPr>
        <w:spacing w:lineRule="auto" w:line="480" w:after="0"/>
      </w:pPr>
      <w:r>
        <w:rPr>
          <w:rFonts w:ascii="바탕" w:hAnsi="바탕" w:eastAsia="바탕"/>
          <w:b w:val="0"/>
          <w:sz w:val="21"/>
        </w:rPr>
        <w:t>[59]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[60] Y. Liu, M. Ott, N. Goyal, J. Du, M. Joshi, D. Chen, et al., "RoBERTa: A Robustly Optimized BERT Pretraining Approach," arXiv preprint arXiv:1907.11692, 2019.</w:t>
      </w:r>
    </w:p>
    <w:p>
      <w:pPr>
        <w:spacing w:lineRule="auto" w:line="480" w:after="0"/>
      </w:pPr>
      <w:r>
        <w:rPr>
          <w:rFonts w:ascii="바탕" w:hAnsi="바탕" w:eastAsia="바탕"/>
          <w:b w:val="0"/>
          <w:sz w:val="21"/>
        </w:rPr>
        <w:t>[61] A. Vaswani, N. Shazeer, N. Parmar, J. Uszkoreit, L. Jones, A. N. Gomez, Ł. Kaiser, and I. Polosukhin, "Attention is All You Need," in NeurIPS, vol. 30, pp. 5998–6008, 2017.</w:t>
      </w:r>
    </w:p>
    <w:p>
      <w:pPr>
        <w:pStyle w:val="Heading2"/>
        <w:spacing w:lineRule="auto" w:line="360" w:after="160"/>
      </w:pPr>
      <w:r>
        <w:rPr>
          <w:rFonts w:ascii="바탕" w:hAnsi="바탕" w:eastAsia="바탕"/>
          <w:b/>
          <w:sz w:val="24"/>
        </w:rPr>
        <w:t>[10] Embeddings and Representation Learning</w:t>
      </w:r>
    </w:p>
    <w:p>
      <w:pPr>
        <w:spacing w:lineRule="auto" w:line="480" w:after="0"/>
      </w:pPr>
      <w:r>
        <w:rPr>
          <w:rFonts w:ascii="바탕" w:hAnsi="바탕" w:eastAsia="바탕"/>
          <w:b w:val="0"/>
          <w:sz w:val="21"/>
        </w:rPr>
        <w:t>[62] N. Reimers and I. Gurevych, "Sentence-BERT: Sentence Embeddings using Siamese BERT-Networks," in Proc. EMNLP-IJCNLP, pp. 3982–3992, 2019.</w:t>
      </w:r>
    </w:p>
    <w:p>
      <w:pPr>
        <w:spacing w:lineRule="auto" w:line="480" w:after="0"/>
      </w:pPr>
      <w:r>
        <w:rPr>
          <w:rFonts w:ascii="바탕" w:hAnsi="바탕" w:eastAsia="바탕"/>
          <w:b w:val="0"/>
          <w:sz w:val="21"/>
        </w:rPr>
        <w:t>[63] T. Mikolov, K. Chen, G. Corrado, and J. Dean, "Efficient Estimation of Word Representations in Vector Space (word2vec)," in ICLR Workshop, 2013.</w:t>
      </w:r>
    </w:p>
    <w:p>
      <w:pPr>
        <w:spacing w:lineRule="auto" w:line="480" w:after="0"/>
      </w:pPr>
      <w:r>
        <w:rPr>
          <w:rFonts w:ascii="바탕" w:hAnsi="바탕" w:eastAsia="바탕"/>
          <w:b w:val="0"/>
          <w:sz w:val="21"/>
        </w:rPr>
        <w:t>[64] J. Lin, R. Nogueira, and A. Yates, Pretrained Transformers for Text Ranking: BERT and Beyond. Morgan &amp; Claypool, 2021.</w:t>
      </w:r>
    </w:p>
    <w:p>
      <w:pPr>
        <w:pStyle w:val="Heading2"/>
        <w:spacing w:lineRule="auto" w:line="360" w:after="160"/>
      </w:pPr>
      <w:r>
        <w:rPr>
          <w:rFonts w:ascii="바탕" w:hAnsi="바탕" w:eastAsia="바탕"/>
          <w:b/>
          <w:sz w:val="24"/>
        </w:rPr>
        <w:t>[11] Korean NLP and Evaluation</w:t>
      </w:r>
    </w:p>
    <w:p>
      <w:pPr>
        <w:spacing w:lineRule="auto" w:line="480" w:after="0"/>
      </w:pPr>
      <w:r>
        <w:rPr>
          <w:rFonts w:ascii="바탕" w:hAnsi="바탕" w:eastAsia="바탕"/>
          <w:b w:val="0"/>
          <w:sz w:val="21"/>
        </w:rPr>
        <w:t>[65] S. Park, J. Moon, S. Kim, J. Y. Cho, J. Han, et al., "KLUE: Korean Language Understanding Evaluation," in NeurIPS Datasets and Benchmarks Track, 2021. (the BERT Intent Classifier in this dissertation uses klue/bert-base)</w:t>
      </w:r>
    </w:p>
    <w:p>
      <w:pPr>
        <w:spacing w:lineRule="auto" w:line="480" w:after="0"/>
      </w:pPr>
      <w:r>
        <w:rPr>
          <w:rFonts w:ascii="바탕" w:hAnsi="바탕" w:eastAsia="바탕"/>
          <w:b w:val="0"/>
          <w:sz w:val="21"/>
        </w:rPr>
        <w:t>[66] S. Lim, M. Kim, and J. Lee, "KorQuAD 1.0: Korean QA Dataset for Machine Reading Comprehension," arXiv preprint arXiv:1909.07005, 2019.</w:t>
      </w:r>
    </w:p>
    <w:p>
      <w:pPr>
        <w:spacing w:lineRule="auto" w:line="480" w:after="0"/>
      </w:pPr>
      <w:r>
        <w:rPr>
          <w:rFonts w:ascii="바탕" w:hAnsi="바탕" w:eastAsia="바탕"/>
          <w:b w:val="0"/>
          <w:sz w:val="21"/>
        </w:rPr>
        <w:t>[67] J. Park, "KoELECTRA: Pretrained ELECTRA Model for Korean," GitHub Repository, 2020. [https://github.com/monologg/KoELECTRA]</w:t>
      </w:r>
    </w:p>
    <w:p>
      <w:pPr>
        <w:spacing w:lineRule="auto" w:line="480" w:after="0"/>
      </w:pPr>
      <w:r>
        <w:rPr>
          <w:rFonts w:ascii="바탕" w:hAnsi="바탕" w:eastAsia="바탕"/>
          <w:b w:val="0"/>
          <w:sz w:val="21"/>
        </w:rPr>
        <w:t>[68] J. Park (monologg), "KoBigBird: Pretrained BigBird Model for Korean (up to 4096 tokens)," GitHub Repository, 2021. [https://github.com/monologg/KoBigBird]</w:t>
      </w:r>
    </w:p>
    <w:p>
      <w:pPr>
        <w:spacing w:lineRule="auto" w:line="480" w:after="0"/>
      </w:pPr>
      <w:r>
        <w:rPr>
          <w:rFonts w:ascii="바탕" w:hAnsi="바탕" w:eastAsia="바탕"/>
          <w:b w:val="0"/>
          <w:sz w:val="21"/>
        </w:rPr>
        <w:t>[69] Korea Institute of Science and Technology Information (KISTI), "KorSciDeBERTa: A DeBERTa-based Pre-trained Language Model for the Science and Technology Domain," AIDA Model Repository, 2023. [https://aida.kisti.re.kr/model/bc928a9b-1574-4952-84c0-0f6529290f3c]</w:t>
      </w:r>
    </w:p>
    <w:p>
      <w:pPr>
        <w:pStyle w:val="Heading2"/>
        <w:spacing w:lineRule="auto" w:line="360" w:after="160"/>
      </w:pPr>
      <w:r>
        <w:rPr>
          <w:rFonts w:ascii="바탕" w:hAnsi="바탕" w:eastAsia="바탕"/>
          <w:b/>
          <w:sz w:val="24"/>
        </w:rPr>
        <w:t>[12] Benchmark Datasets</w:t>
      </w:r>
    </w:p>
    <w:p>
      <w:pPr>
        <w:spacing w:lineRule="auto" w:line="480" w:after="0"/>
      </w:pPr>
      <w:r>
        <w:rPr>
          <w:rFonts w:ascii="바탕" w:hAnsi="바탕" w:eastAsia="바탕"/>
          <w:b w:val="0"/>
          <w:sz w:val="21"/>
        </w:rPr>
        <w:t>[70]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[71]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[72] Q. Jin, B. Dhingra, Z. Liu, W. Cohen, and X. Lu, "PubMedQA: A Dataset for Biomedical Research Question Answering," in Proc. EMNLP-IJCNLP, pp. 2567–2577, 2019.</w:t>
      </w:r>
    </w:p>
    <w:p>
      <w:pPr>
        <w:spacing w:lineRule="auto" w:line="480" w:after="0"/>
      </w:pPr>
      <w:r>
        <w:rPr>
          <w:rFonts w:ascii="바탕" w:hAnsi="바탕" w:eastAsia="바탕"/>
          <w:b w:val="0"/>
          <w:sz w:val="21"/>
        </w:rPr>
        <w:t>[73] T. Kwiatkowski, J. Palomaki, O. Redfield, M. Collins, A. Parikh, C. Alberti, et al., "Natural Questions: A Benchmark for Question Answering Research," Transactions of the Association for Computational Linguistics (TACL), vol. 7, pp. 453–466, 2019.</w:t>
      </w:r>
    </w:p>
    <w:p>
      <w:pPr>
        <w:spacing w:lineRule="auto" w:line="480" w:after="0"/>
      </w:pPr>
      <w:r>
        <w:rPr>
          <w:rFonts w:ascii="바탕" w:hAnsi="바탕" w:eastAsia="바탕"/>
          <w:b w:val="0"/>
          <w:sz w:val="21"/>
        </w:rPr>
        <w:t>[74] M. Joshi, E. Choi, D. Weld, and L. Zettlemoyer, "TriviaQA: A Large Scale Distantly Supervised Challenge Dataset for Reading Comprehension," in Proc. ACL, 2017.</w:t>
      </w:r>
    </w:p>
    <w:p>
      <w:pPr>
        <w:spacing w:lineRule="auto" w:line="480" w:after="0"/>
      </w:pPr>
      <w:r>
        <w:rPr>
          <w:rFonts w:ascii="바탕" w:hAnsi="바탕" w:eastAsia="바탕"/>
          <w:b w:val="0"/>
          <w:sz w:val="21"/>
        </w:rPr>
        <w:t>[75] J. Welbl, P. Stenetorp, and S. Riedel, "Constructing Datasets for Multi-hop Reading Comprehension Across Documents (WikiHop)," Transactions of the Association for Computational Linguistics (TACL), vol. 6, pp. 287–302, 2018.</w:t>
      </w:r>
    </w:p>
    <w:p>
      <w:pPr>
        <w:spacing w:lineRule="auto" w:line="480" w:after="0"/>
      </w:pPr>
      <w:r>
        <w:rPr>
          <w:rFonts w:ascii="바탕" w:hAnsi="바탕" w:eastAsia="바탕"/>
          <w:b w:val="0"/>
          <w:sz w:val="21"/>
        </w:rPr>
        <w:t>[76] P. Rajpurkar, J. Zhang, K. Lopyrev, and P. Liang, "SQuAD: 100,000+ Questions for Machine Comprehension of Text," in Proc. EMNLP, pp. 2383–2392, 2016.</w:t>
      </w:r>
    </w:p>
    <w:p>
      <w:pPr>
        <w:pStyle w:val="Heading2"/>
        <w:spacing w:lineRule="auto" w:line="360" w:after="160"/>
      </w:pPr>
      <w:r>
        <w:rPr>
          <w:rFonts w:ascii="바탕" w:hAnsi="바탕" w:eastAsia="바탕"/>
          <w:b/>
          <w:sz w:val="24"/>
        </w:rPr>
        <w:t>[13] Evaluation Methodology and RAG Evaluation</w:t>
      </w:r>
    </w:p>
    <w:p>
      <w:pPr>
        <w:spacing w:lineRule="auto" w:line="480" w:after="0"/>
      </w:pPr>
      <w:r>
        <w:rPr>
          <w:rFonts w:ascii="바탕" w:hAnsi="바탕" w:eastAsia="바탕"/>
          <w:b w:val="0"/>
          <w:sz w:val="21"/>
        </w:rPr>
        <w:t>[77] S. ES, J. James, L. Espinosa Anke, and S. Schockaert, "RAGAS: Automated Evaluation of Retrieval Augmented Generation," arXiv preprint arXiv:2309.15217, 2023. (foundation of the Faithfulness metric used in this dissertation)</w:t>
      </w:r>
    </w:p>
    <w:p>
      <w:pPr>
        <w:spacing w:lineRule="auto" w:line="480" w:after="0"/>
      </w:pPr>
      <w:r>
        <w:rPr>
          <w:rFonts w:ascii="바탕" w:hAnsi="바탕" w:eastAsia="바탕"/>
          <w:b w:val="0"/>
          <w:sz w:val="21"/>
        </w:rPr>
        <w:t>[78] J. Saad-Falcon, O. Khattab, C. Potts, and M. Zaharia, "ARES: An Automated Evaluation Framework for Retrieval-Augmented Generation Systems," in Proc. NAACL, 2024.</w:t>
      </w:r>
    </w:p>
    <w:p>
      <w:pPr>
        <w:spacing w:lineRule="auto" w:line="480" w:after="0"/>
      </w:pPr>
      <w:r>
        <w:rPr>
          <w:rFonts w:ascii="바탕" w:hAnsi="바탕" w:eastAsia="바탕"/>
          <w:b w:val="0"/>
          <w:sz w:val="21"/>
        </w:rPr>
        <w:t>[79] T. Zhang, V. Kishore, F. Wu, K. Q. Weinberger, and Y. Artzi, "BERTScore: Evaluating Text Generation with BERT," in Int. Conf. on Learning Representations (ICLR), 2020.</w:t>
      </w:r>
    </w:p>
    <w:p>
      <w:pPr>
        <w:spacing w:lineRule="auto" w:line="480" w:after="0"/>
      </w:pPr>
      <w:r>
        <w:rPr>
          <w:rFonts w:ascii="바탕" w:hAnsi="바탕" w:eastAsia="바탕"/>
          <w:b w:val="0"/>
          <w:sz w:val="21"/>
        </w:rPr>
        <w:t>[80] T. Sellam, D. Das, and A. P. Parikh, "BLEURT: Learning Robust Metrics for Text Generation," in Proc. ACL, pp. 7881–7892, 2020.</w:t>
      </w:r>
    </w:p>
    <w:p>
      <w:pPr>
        <w:spacing w:lineRule="auto" w:line="480" w:after="0"/>
      </w:pPr>
      <w:r>
        <w:rPr>
          <w:rFonts w:ascii="바탕" w:hAnsi="바탕" w:eastAsia="바탕"/>
          <w:b w:val="0"/>
          <w:sz w:val="21"/>
        </w:rPr>
        <w:t>[81] Y. Liu, D. Iter, Y. Xu, S. Wang, R. Xu, and C. Zhu, "G-Eval: NLG Evaluation using GPT-4 with Better Human Alignment," in Proc. EMNLP, 2023.</w:t>
      </w:r>
    </w:p>
    <w:p>
      <w:pPr>
        <w:spacing w:lineRule="auto" w:line="480" w:after="0"/>
      </w:pPr>
      <w:r>
        <w:rPr>
          <w:rFonts w:ascii="바탕" w:hAnsi="바탕" w:eastAsia="바탕"/>
          <w:b w:val="0"/>
          <w:sz w:val="21"/>
        </w:rPr>
        <w:t>[82] K. Papineni, S. Roukos, T. Ward, and W.-J. Zhu, "BLEU: a Method for Automatic Evaluation of Machine Translation," in Proc. ACL, pp. 311–318, 2002.</w:t>
      </w:r>
    </w:p>
    <w:p>
      <w:pPr>
        <w:spacing w:lineRule="auto" w:line="480" w:after="0"/>
      </w:pPr>
      <w:r>
        <w:rPr>
          <w:rFonts w:ascii="바탕" w:hAnsi="바탕" w:eastAsia="바탕"/>
          <w:b w:val="0"/>
          <w:sz w:val="21"/>
        </w:rPr>
        <w:t>[83] C.-Y. Lin, "ROUGE: A Package for Automatic Evaluation of Summaries," in Text Summarization Branches Out (ACL Workshop), 2004.</w:t>
      </w:r>
    </w:p>
    <w:p>
      <w:pPr>
        <w:pStyle w:val="Heading2"/>
        <w:spacing w:lineRule="auto" w:line="360" w:after="160"/>
      </w:pPr>
      <w:r>
        <w:rPr>
          <w:rFonts w:ascii="바탕" w:hAnsi="바탕" w:eastAsia="바탕"/>
          <w:b/>
          <w:sz w:val="24"/>
        </w:rPr>
        <w:t>[14] Hallucination and Faithfulness</w:t>
      </w:r>
    </w:p>
    <w:p>
      <w:pPr>
        <w:spacing w:lineRule="auto" w:line="480" w:after="0"/>
      </w:pPr>
      <w:r>
        <w:rPr>
          <w:rFonts w:ascii="바탕" w:hAnsi="바탕" w:eastAsia="바탕"/>
          <w:b w:val="0"/>
          <w:sz w:val="21"/>
        </w:rPr>
        <w:t>[84] J. Maynez, S. Narayan, B. Bohnet, and R. McDonald, "On Faithfulness and Factuality in Abstractive Summarization," in Proc. ACL, pp. 1906–1919, 2020.</w:t>
      </w:r>
    </w:p>
    <w:p>
      <w:pPr>
        <w:spacing w:lineRule="auto" w:line="480" w:after="0"/>
      </w:pPr>
      <w:r>
        <w:rPr>
          <w:rFonts w:ascii="바탕" w:hAnsi="바탕" w:eastAsia="바탕"/>
          <w:b w:val="0"/>
          <w:sz w:val="21"/>
        </w:rPr>
        <w:t>[85] Z. Ji, N. Lee, R. Frieske, T. Yu, D. Su, Y. Xu, et al., "Survey of Hallucination in Natural Language Generation," ACM Computing Surveys, vol. 55, no. 12, pp. 1–38, 2023.</w:t>
      </w:r>
    </w:p>
    <w:p>
      <w:pPr>
        <w:spacing w:lineRule="auto" w:line="480" w:after="0"/>
      </w:pPr>
      <w:r>
        <w:rPr>
          <w:rFonts w:ascii="바탕" w:hAnsi="바탕" w:eastAsia="바탕"/>
          <w:b w:val="0"/>
          <w:sz w:val="21"/>
        </w:rPr>
        <w:t>[86] P. Manakul, A. Liusie, and M. J. F. Gales, "SelfCheckGPT: Zero-Resource Black-Box Hallucination Detection for Generative Large Language Models," in Proc. EMNLP, 2023.</w:t>
      </w:r>
    </w:p>
    <w:p>
      <w:pPr>
        <w:spacing w:lineRule="auto" w:line="480" w:after="0"/>
      </w:pPr>
      <w:r>
        <w:rPr>
          <w:rFonts w:ascii="바탕" w:hAnsi="바탕" w:eastAsia="바탕"/>
          <w:b w:val="0"/>
          <w:sz w:val="21"/>
        </w:rPr>
        <w:t>[87] S. Lin, J. Hilton, and O. Evans, "TruthfulQA: Measuring How Models Mimic Human Falsehoods," in Proc. ACL, 2022.</w:t>
      </w:r>
    </w:p>
    <w:p>
      <w:pPr>
        <w:spacing w:lineRule="auto" w:line="480" w:after="0"/>
      </w:pPr>
      <w:r>
        <w:rPr>
          <w:rFonts w:ascii="바탕" w:hAnsi="바탕" w:eastAsia="바탕"/>
          <w:b w:val="0"/>
          <w:sz w:val="21"/>
        </w:rPr>
        <w:t>[88] S. Min, K. Krishna, X. Lyu, M. Lewis, W.-T. Yih, P. Koh, M. Iyyer, L. Zettlemoyer, and H. Hajishirzi, "FActScore: Fine-grained Atomic Evaluation of Factual Precision in Long Form Text Generation," in Proc. EMNLP, 2023.</w:t>
      </w:r>
    </w:p>
    <w:p>
      <w:pPr>
        <w:pStyle w:val="Heading2"/>
        <w:spacing w:lineRule="auto" w:line="360" w:after="160"/>
      </w:pPr>
      <w:r>
        <w:rPr>
          <w:rFonts w:ascii="바탕" w:hAnsi="바탕" w:eastAsia="바탕"/>
          <w:b/>
          <w:sz w:val="24"/>
        </w:rPr>
        <w:t>[15] Reasoning and Prompting</w:t>
      </w:r>
    </w:p>
    <w:p>
      <w:pPr>
        <w:spacing w:lineRule="auto" w:line="480" w:after="0"/>
      </w:pPr>
      <w:r>
        <w:rPr>
          <w:rFonts w:ascii="바탕" w:hAnsi="바탕" w:eastAsia="바탕"/>
          <w:b w:val="0"/>
          <w:sz w:val="21"/>
        </w:rPr>
        <w:t>[89] J. Wei, X. Wang, D. Schuurmans, M. Bosma, B. Ichter, F. Xia, E. H. Chi, Q. V. Le, and D. Zhou, "Chain-of-Thought Prompting Elicits Reasoning in Large Language Models," in NeurIPS, 2022.</w:t>
      </w:r>
    </w:p>
    <w:p>
      <w:pPr>
        <w:spacing w:lineRule="auto" w:line="480" w:after="0"/>
      </w:pPr>
      <w:r>
        <w:rPr>
          <w:rFonts w:ascii="바탕" w:hAnsi="바탕" w:eastAsia="바탕"/>
          <w:b w:val="0"/>
          <w:sz w:val="21"/>
        </w:rPr>
        <w:t>[90] T. Kojima, S. S. Gu, M. Reid, Y. Matsuo, and Y. Iwasawa, "Large Language Models are Zero-Shot Reasoners," in NeurIPS, 2022.</w:t>
      </w:r>
    </w:p>
    <w:p>
      <w:pPr>
        <w:spacing w:lineRule="auto" w:line="480" w:after="0"/>
      </w:pPr>
      <w:r>
        <w:rPr>
          <w:rFonts w:ascii="바탕" w:hAnsi="바탕" w:eastAsia="바탕"/>
          <w:b w:val="0"/>
          <w:sz w:val="21"/>
        </w:rPr>
        <w:t>[91] S. Yao, D. Yu, J. Zhao, I. Shafran, T. L. Griffiths, Y. Cao, and K. Narasimhan, "Tree of Thoughts: Deliberate Problem Solving with Large Language Models," in NeurIPS, 2023.</w:t>
      </w:r>
    </w:p>
    <w:p>
      <w:pPr>
        <w:spacing w:lineRule="auto" w:line="480" w:after="0"/>
      </w:pPr>
      <w:r>
        <w:rPr>
          <w:rFonts w:ascii="바탕" w:hAnsi="바탕" w:eastAsia="바탕"/>
          <w:b w:val="0"/>
          <w:sz w:val="21"/>
        </w:rPr>
        <w:t>[92] J. Wei, Y. Tay, R. Bommasani, C. Raffel, B. Zoph, S. Borgeaud, et al., "Emergent Abilities of Large Language Models," Transactions on Machine Learning Research (TMLR), 2022.</w:t>
      </w:r>
    </w:p>
    <w:p>
      <w:pPr>
        <w:spacing w:lineRule="auto" w:line="480" w:after="0"/>
      </w:pPr>
      <w:r>
        <w:rPr>
          <w:rFonts w:ascii="바탕" w:hAnsi="바탕" w:eastAsia="바탕"/>
          <w:b w:val="0"/>
          <w:sz w:val="21"/>
        </w:rPr>
        <w:t>[93] T. Schick, J. Dwivedi-Yu, R. Dessì, R. Raileanu, M. Lomeli, L. Zettlemoyer, N. Cancedda, and T. Scialom, "Toolformer: Language Models Can Teach Themselves to Use Tools," in NeurIPS, 2023.</w:t>
      </w:r>
    </w:p>
    <w:p>
      <w:pPr>
        <w:pStyle w:val="Heading2"/>
        <w:spacing w:lineRule="auto" w:line="360" w:after="160"/>
      </w:pPr>
      <w:r>
        <w:rPr>
          <w:rFonts w:ascii="바탕" w:hAnsi="바탕" w:eastAsia="바탕"/>
          <w:b/>
          <w:sz w:val="24"/>
        </w:rPr>
        <w:t>[16] Statistical Methods and RL Reproducibility</w:t>
      </w:r>
    </w:p>
    <w:p>
      <w:pPr>
        <w:spacing w:lineRule="auto" w:line="480" w:after="0"/>
      </w:pPr>
      <w:r>
        <w:rPr>
          <w:rFonts w:ascii="바탕" w:hAnsi="바탕" w:eastAsia="바탕"/>
          <w:b w:val="0"/>
          <w:sz w:val="21"/>
        </w:rPr>
        <w:t>[94] B. Efron, "Better Bootstrap Confidence Intervals," Journal of the American Statistical Association, vol. 82, no. 397, pp. 171–185, 1987. (origin of the BCa 95% CI used in Ch. VI §3 of this dissertation)</w:t>
      </w:r>
    </w:p>
    <w:p>
      <w:pPr>
        <w:spacing w:lineRule="auto" w:line="480" w:after="0"/>
      </w:pPr>
      <w:r>
        <w:rPr>
          <w:rFonts w:ascii="바탕" w:hAnsi="바탕" w:eastAsia="바탕"/>
          <w:b w:val="0"/>
          <w:sz w:val="21"/>
        </w:rPr>
        <w:t>[95] T. J. DiCiccio and B. Efron, "Bootstrap Confidence Intervals," Statistical Science, vol. 11, no. 3, pp. 189–228, 1996.</w:t>
      </w:r>
    </w:p>
    <w:p>
      <w:pPr>
        <w:spacing w:lineRule="auto" w:line="480" w:after="0"/>
      </w:pPr>
      <w:r>
        <w:rPr>
          <w:rFonts w:ascii="바탕" w:hAnsi="바탕" w:eastAsia="바탕"/>
          <w:b w:val="0"/>
          <w:sz w:val="21"/>
        </w:rPr>
        <w:t>[96] J. Cohen, Statistical Power Analysis for the Behavioral Sciences, 2nd ed. Hillsdale, NJ: Lawrence Erlbaum, 1988. (definition of Cohen's d_z effect size)</w:t>
      </w:r>
    </w:p>
    <w:p>
      <w:pPr>
        <w:spacing w:lineRule="auto" w:line="480" w:after="0"/>
      </w:pPr>
      <w:r>
        <w:rPr>
          <w:rFonts w:ascii="바탕" w:hAnsi="바탕" w:eastAsia="바탕"/>
          <w:b w:val="0"/>
          <w:sz w:val="21"/>
        </w:rPr>
        <w:t>[97] J. Pineau, P. Vincent-Lamarre, K. Sinha, V. Larivière, A. Beygelzimer, F. d'Alché-Buc, E. Fox, and H. Larochelle, "Improving Reproducibility in Machine Learning Research," Journal of Machine Learning Research (JMLR), vol. 22, pp. 1–20, 2021.</w:t>
      </w:r>
    </w:p>
    <w:p>
      <w:pPr>
        <w:spacing w:lineRule="auto" w:line="480" w:after="0"/>
      </w:pPr>
      <w:r>
        <w:rPr>
          <w:rFonts w:ascii="바탕" w:hAnsi="바탕" w:eastAsia="바탕"/>
          <w:b w:val="0"/>
          <w:sz w:val="21"/>
        </w:rPr>
        <w:t>[98] P. Henderson, R. Islam, P. Bachman, J. Pineau, D. Precup, and D. Meger, "Deep Reinforcement Learning that Matters," in Proc. AAAI, 2018.</w:t>
      </w:r>
    </w:p>
    <w:p>
      <w:pPr>
        <w:pStyle w:val="Heading2"/>
        <w:spacing w:lineRule="auto" w:line="360" w:after="160"/>
      </w:pPr>
      <w:r>
        <w:rPr>
          <w:rFonts w:ascii="바탕" w:hAnsi="바탕" w:eastAsia="바탕"/>
          <w:b/>
          <w:sz w:val="24"/>
        </w:rPr>
        <w:t>[17] Tools and Implementation Dependencies</w:t>
      </w:r>
    </w:p>
    <w:p>
      <w:pPr>
        <w:spacing w:lineRule="auto" w:line="480" w:after="0"/>
      </w:pPr>
      <w:r>
        <w:rPr>
          <w:rFonts w:ascii="바탕" w:hAnsi="바탕" w:eastAsia="바탕"/>
          <w:b w:val="0"/>
          <w:sz w:val="21"/>
        </w:rPr>
        <w:t>[99]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[100] A. A. Hagberg, D. A. Schult, and P. J. Swart, "Exploring Network Structure, Dynamics, and Function using NetworkX," in Proc. 7th Python in Science Conference (SciPy), pp. 11–15, 2008. [https://networkx.org]</w:t>
      </w:r>
    </w:p>
    <w:p>
      <w:pPr>
        <w:pStyle w:val="Heading2"/>
        <w:spacing w:lineRule="auto" w:line="360" w:after="160"/>
      </w:pPr>
      <w:r>
        <w:rPr>
          <w:rFonts w:ascii="바탕" w:hAnsi="바탕" w:eastAsia="바탕"/>
          <w:b/>
          <w:sz w:val="24"/>
        </w:rPr>
        <w:t>Editorial Conventions</w:t>
      </w:r>
    </w:p>
    <w:p>
      <w:pPr>
        <w:pStyle w:val="ListNumber"/>
        <w:spacing w:lineRule="auto" w:line="360" w:after="0"/>
      </w:pPr>
      <w:r>
        <w:rPr>
          <w:rFonts w:ascii="바탕" w:hAnsi="바탕" w:eastAsia="바탕"/>
          <w:b w:val="0"/>
          <w:sz w:val="21"/>
        </w:rPr>
        <w:t>IEEE-style ordering. Within a category, multi-author publications by the same lead author are ordered by year (descending).</w:t>
      </w:r>
    </w:p>
    <w:p>
      <w:pPr>
        <w:pStyle w:val="ListNumber"/>
        <w:spacing w:lineRule="auto" w:line="360" w:after="0"/>
      </w:pPr>
      <w:r>
        <w:rPr>
          <w:rFonts w:ascii="바탕" w:hAnsi="바탕" w:eastAsia="바탕"/>
          <w:b w:val="0"/>
          <w:sz w:val="21"/>
        </w:rPr>
        <w:t>Body-to-list mapping. Every in-text citation in the form "(Author, Year)" or "Author et al. (Year)" is mapped 1:1 to a numbered entry in this list.</w:t>
      </w:r>
    </w:p>
    <w:p>
      <w:pPr>
        <w:pStyle w:val="ListNumber"/>
        <w:spacing w:lineRule="auto" w:line="360" w:after="0"/>
      </w:pPr>
      <w:r>
        <w:rPr>
          <w:rFonts w:ascii="바탕" w:hAnsi="바탕" w:eastAsia="바탕"/>
          <w:b w:val="0"/>
          <w:sz w:val="21"/>
        </w:rPr>
        <w:t>Software references. A small number of essential software tools required to reproduce this dissertation (FAISS, NetworkX) are included in §17 as scholarly citations. Other tools and online resources used during this research are listed in the supplementary section below.</w:t>
      </w:r>
    </w:p>
    <w:p>
      <w:pPr>
        <w:pStyle w:val="ListNumber"/>
        <w:spacing w:lineRule="auto" w:line="360" w:after="0"/>
      </w:pPr>
      <w:r>
        <w:rPr>
          <w:rFonts w:ascii="바탕" w:hAnsi="바탕" w:eastAsia="바탕"/>
          <w:b w:val="0"/>
          <w:sz w:val="21"/>
        </w:rPr>
        <w:t>CORRIGENDUM as evidence. The evaluation-infrastructure rectification reported in Ch. VI §1.4 and §3.3 of this dissertation is published openly via the GitHub repository linked in entry [1].</w:t>
      </w:r>
    </w:p>
    <w:p>
      <w:pPr>
        <w:pStyle w:val="ListNumber"/>
        <w:spacing w:lineRule="auto" w:line="360" w:after="0"/>
      </w:pPr>
      <w:r>
        <w:rPr>
          <w:rFonts w:ascii="바탕" w:hAnsi="바탕" w:eastAsia="바탕"/>
          <w:b w:val="0"/>
          <w:sz w:val="21"/>
        </w:rPr>
        <w:t>Total: 17 categories, 100 entries.</w:t>
      </w:r>
    </w:p>
    <w:p>
      <w:pPr>
        <w:pStyle w:val="Heading2"/>
        <w:spacing w:lineRule="auto" w:line="360" w:after="160"/>
      </w:pPr>
      <w:r>
        <w:rPr>
          <w:rFonts w:ascii="바탕" w:hAnsi="바탕" w:eastAsia="바탕"/>
          <w:b/>
          <w:sz w:val="24"/>
        </w:rPr>
        <w:t>Supplementary References (cited in footnotes / appendices, not part of the numbered list)</w:t>
      </w:r>
    </w:p>
    <w:p>
      <w:pPr>
        <w:pStyle w:val="ListBullet"/>
        <w:spacing w:lineRule="auto" w:line="360" w:after="0"/>
      </w:pPr>
      <w:r>
        <w:rPr>
          <w:rFonts w:ascii="바탕" w:hAnsi="바탕" w:eastAsia="바탕"/>
          <w:b w:val="0"/>
          <w:sz w:val="21"/>
        </w:rPr>
        <w:t>Owlready2 — J.-B. Lamy, "Owlready: Ontology-oriented programming in Python with automatic classification and high level constructs for biomedical ontologies," Artificial Intelligence in Medicine, vol. 80, pp. 11–28, 2017. [Used as the Ontology source backend in Ch. III §2.3.]</w:t>
      </w:r>
    </w:p>
    <w:p>
      <w:pPr>
        <w:pStyle w:val="ListBullet"/>
        <w:spacing w:lineRule="auto" w:line="360" w:after="0"/>
      </w:pPr>
      <w:r>
        <w:rPr>
          <w:rFonts w:ascii="바탕" w:hAnsi="바탕" w:eastAsia="바탕"/>
          <w:b w:val="0"/>
          <w:sz w:val="21"/>
        </w:rPr>
        <w:t>HermiT OWL Reasoner — R. Shearer, B. Motik, and I. Horrocks, "HermiT: A Highly-Efficient OWL Reasoner," in OWL: Experiences and Directions (OWLED) Workshop, 2008. [Used as the reasoner fallback in Ch. III §2.3.]</w:t>
      </w:r>
    </w:p>
    <w:p>
      <w:pPr>
        <w:pStyle w:val="ListBullet"/>
        <w:spacing w:lineRule="auto" w:line="360" w:after="0"/>
      </w:pPr>
      <w:r>
        <w:rPr>
          <w:rFonts w:ascii="바탕" w:hAnsi="바탕" w:eastAsia="바탕"/>
          <w:b w:val="0"/>
          <w:sz w:val="21"/>
        </w:rPr>
        <w:t>PyTorch — A. Paszke, S. Gross, F. Massa, A. Lerer, J. Bradbury, et al., "PyTorch: An Imperative Style, High-Performance Deep Learning Library," in NeurIPS, vol. 32, pp. 8024–8035, 2019.</w:t>
      </w:r>
    </w:p>
    <w:p>
      <w:pPr>
        <w:pStyle w:val="ListBullet"/>
        <w:spacing w:lineRule="auto" w:line="360" w:after="0"/>
      </w:pPr>
      <w:r>
        <w:rPr>
          <w:rFonts w:ascii="바탕" w:hAnsi="바탕" w:eastAsia="바탕"/>
          <w:b w:val="0"/>
          <w:sz w:val="21"/>
        </w:rPr>
        <w:t>Hugging Face Transformers — T. Wolf, L. Debut, V. Sanh, J. Chaumond, C. Delangue, et al., "Transformers: State-of-the-Art Natural Language Processing," in Proc. EMNLP Demo Track, pp. 38–45, 2020.</w:t>
      </w:r>
    </w:p>
    <w:p>
      <w:pPr>
        <w:pStyle w:val="ListBullet"/>
        <w:spacing w:lineRule="auto" w:line="360" w:after="0"/>
      </w:pPr>
      <w:r>
        <w:rPr>
          <w:rFonts w:ascii="바탕" w:hAnsi="바탕" w:eastAsia="바탕"/>
          <w:b w:val="0"/>
          <w:sz w:val="21"/>
        </w:rPr>
        <w:t>NumPy — C. R. Harris, K. J. Millman, S. J. van der Walt, et al., "Array Programming with NumPy," Nature, vol. 585, pp. 357–362, 2020.</w:t>
      </w:r>
    </w:p>
    <w:p>
      <w:pPr>
        <w:pStyle w:val="ListBullet"/>
        <w:spacing w:lineRule="auto" w:line="360" w:after="0"/>
      </w:pPr>
      <w:r>
        <w:rPr>
          <w:rFonts w:ascii="바탕" w:hAnsi="바탕" w:eastAsia="바탕"/>
          <w:b w:val="0"/>
          <w:sz w:val="21"/>
        </w:rPr>
        <w:t>Streamlit — Streamlit Inc., "Streamlit: The Fastest Way to Build and Share Data Apps," 2024. [Used to implement the dashboard accompanying this dissertation.]</w:t>
      </w:r>
    </w:p>
    <w:p>
      <w:pPr>
        <w:pStyle w:val="ListBullet"/>
        <w:spacing w:lineRule="auto" w:line="360" w:after="0"/>
      </w:pPr>
      <w:r>
        <w:rPr>
          <w:rFonts w:ascii="바탕" w:hAnsi="바탕" w:eastAsia="바탕"/>
          <w:b w:val="0"/>
          <w:sz w:val="21"/>
        </w:rPr>
        <w:t>OpenAI GPT-4o-mini — OpenAI, "GPT-4o-mini Technical Report," 2024 (gpt-4o-mini-2024-07-18). [All LLM calls in this dissertation use this model.]</w:t>
      </w:r>
    </w:p>
    <w:p>
      <w:pPr>
        <w:pStyle w:val="ListBullet"/>
        <w:spacing w:lineRule="auto" w:line="360" w:after="0"/>
      </w:pPr>
      <w:r>
        <w:rPr>
          <w:rFonts w:ascii="바탕" w:hAnsi="바탕" w:eastAsia="바탕"/>
          <w:b w:val="0"/>
          <w:sz w:val="21"/>
        </w:rPr>
        <w:t>OpenAI text-embedding-3-small — OpenAI, 2024. [Used for 1,536-dim Vector embeddings.]</w:t>
      </w:r>
    </w:p>
    <w:p>
      <w:pPr>
        <w:pStyle w:val="ListBullet"/>
        <w:spacing w:lineRule="auto" w:line="360" w:after="0"/>
      </w:pPr>
      <w:r>
        <w:rPr>
          <w:rFonts w:ascii="바탕" w:hAnsi="바탕" w:eastAsia="바탕"/>
          <w:b w:val="0"/>
          <w:sz w:val="21"/>
        </w:rPr>
        <w:t>This dissertation's repository: https://github.com/sdw1621/triple-rag-phd</w:t>
      </w:r>
    </w:p>
    <w:p>
      <w:pPr>
        <w:pStyle w:val="ListBullet"/>
        <w:spacing w:lineRule="auto" w:line="360" w:after="0"/>
      </w:pPr>
      <w:r>
        <w:rPr>
          <w:rFonts w:ascii="바탕" w:hAnsi="바탕" w:eastAsia="바탕"/>
          <w:b w:val="0"/>
          <w:sz w:val="21"/>
        </w:rPr>
        <w:t>Prior repository (with CORRIGENDUM): https://github.com/sdw1621/hybrid-rag-comparsion/blob/main/CORRIGENDUM.md</w:t>
      </w:r>
    </w:p>
    <w:p>
      <w:pPr>
        <w:pStyle w:val="Heading1"/>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