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제Ⅰ장 서론</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pStyle w:val="ListBullet"/>
        <w:spacing w:lineRule="auto" w:line="360" w:after="0"/>
      </w:pPr>
      <w:r>
        <w:rPr>
          <w:rFonts w:ascii="바탕" w:hAnsi="바탕" w:eastAsia="바탕"/>
          <w:b w:val="0"/>
          <w:sz w:val="21"/>
        </w:rPr>
        <w:t>L-DWA는 R-DWA 대비 F1_strict +21.9% (0.137 → 0.167), F1_substring +8.4% (0.450 → 0.488), Faithfulness +3.6% (0.835 → 0.865) 를 달성하며 (Ch.6 §3).</w:t>
      </w:r>
    </w:p>
    <w:p>
      <w:pPr>
        <w:pStyle w:val="ListBullet"/>
        <w:spacing w:lineRule="auto" w:line="360" w:after="0"/>
      </w:pPr>
      <w:r>
        <w:rPr>
          <w:rFonts w:ascii="바탕" w:hAnsi="바탕" w:eastAsia="바탕"/>
          <w:b w:val="0"/>
          <w:sz w:val="21"/>
        </w:rPr>
        <w:t>특히 Conditional 질의 유형에서 F1_substring +131% (0.090 → 0.208) 를 기록하여 per-query 학습형 가중치의 효능이 수작업 규칙 기반의 한계를 질적으로 초과함을 실증한다 (Ch.6 §4).</w:t>
      </w:r>
    </w:p>
    <w:p>
      <w:pPr>
        <w:pStyle w:val="ListBullet"/>
        <w:spacing w:lineRule="auto" w:line="360" w:after="0"/>
      </w:pPr>
      <w:r>
        <w:rPr>
          <w:rFonts w:ascii="바탕" w:hAnsi="바탕" w:eastAsia="바탕"/>
          <w:b w:val="0"/>
          <w:sz w:val="21"/>
        </w:rPr>
        <w:t>L-DWA의 학습 정책은 per-query argmax Oracle 대비 F1_strict 99.4%, Faithfulness 97.4% 성능에 근접하며, F1_substring에서는 Oracle을 0.488 &gt; 0.483으로 초과하여 학습 목표(Total Reward) 외 지표까지 robust하게 일반화함을 보인다 (Ch.6 §3.2).</w:t>
      </w:r>
    </w:p>
    <w:p>
      <w:pPr>
        <w:pStyle w:val="ListBullet"/>
        <w:spacing w:lineRule="auto" w:line="360" w:after="0"/>
      </w:pPr>
      <w:r>
        <w:rPr>
          <w:rFonts w:ascii="바탕" w:hAnsi="바탕" w:eastAsia="바탕"/>
          <w:b w:val="0"/>
          <w:sz w:val="21"/>
        </w:rPr>
        <w:t>한편 합성 대학 도메인에서 학습된 L-DWA를 HotpotQA, MuSiQue, PubMedQA에 naive transfer할 경우 Vector-only 베이스라인 대비 F1 −30 ~ −35% 저하가 발생하며, 이는 "도메인 특화 학습이 본 프레임워크 가치의 필수 요소" 라는 솔직한 경계 조건을 제공한다 (Ch.6 §7).</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