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60"/>
        <w:jc w:val="center"/>
      </w:pPr>
      <w:r>
        <w:rPr>
          <w:rFonts w:ascii="바탕" w:hAnsi="바탕" w:eastAsia="바탕"/>
          <w:b/>
          <w:sz w:val="28"/>
        </w:rPr>
        <w:t>제Ⅳ장 규칙 기반 동적 가중치 알고리즘 (R-DWA)</w:t>
      </w:r>
    </w:p>
    <w:p>
      <w:pPr>
        <w:spacing w:lineRule="auto" w:line="360" w:after="160"/>
        <w:jc w:val="center"/>
      </w:pPr>
      <w:r>
        <w:rPr>
          <w:rFonts w:ascii="바탕" w:hAnsi="바탕" w:eastAsia="바탕"/>
          <w:b/>
          <w:sz w:val="28"/>
        </w:rPr>
        <w:t>제Ⅳ장 규칙 기반 동적 가중치 알고리즘 (R-DWA)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장은 선행 연구 (Shin &amp; Moon, 2025, JKSCI)의 Rule-based Dynamic Weighting Algorithm 을 본 논문의 베이스라인으로서 정의한다. Ch.5의 L-DWA가 비교하는 대상이며, Ch.6의 실험은 동일 코퍼스·동일 평가 기준으로 R-DWA를 재측정한 값을 공정 베이스라인으로 삼는다.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1절 R-DWA 설계 원리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R-DWA는 두 단계로 가중치 (α, β, γ) 를 결정한다.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Stage 1 — 질의 유형 → 기본 가중치.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QueryAnalyzer(Ch.3 §3)가 판별한 유형에 따라 미리 정해진 기본 가중치를 선택한다 (Table 4-1):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</w:tblGrid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유형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α (Vector)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β (Graph)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γ (Ontology)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simple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0.6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multi_hop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0.6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conditional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0.6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Stage 2 — 밀도 기반 연속 조정 (수식 4-2 ~ 4-4).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밀도 신호 s_r (관계 밀도), s_c (제약 밀도) 로 기본 가중치를 연속 조정 (λ=0.3, grid search로 선정):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α' = α_base × (1 − λ · (s_r + s_c) / 2)</w:t>
        <w:br/>
        <w:t>β' = β_base + λ · s_r · (1 − β_base)</w:t>
        <w:br/>
        <w:t>γ' = γ_base + λ · s_c · (1 − γ_base)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Stage 3 — 정규화 (수식 4-5).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(α, β, γ) = (α', β', γ') / (α' + β' + γ')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2절 R-DWA의 강점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무학습·무비용. 어떠한 학습 데이터 또는 API 호출 없이 즉시 배포 가능.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해석 가능성. 모든 가중치 변화가 한국어 정규식에 대한 매칭 카운트로 추적 가능.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안정성. 고정된 규칙이므로 분포 변화에 대한 과적합 위험 없음.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3절 R-DWA의 구조적 한계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3.1 기본 가중치 테이블의 도메인 편향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Table 4-1의 대각선 배치 (simple→α, multi_hop→β, conditional→γ) 는 저자의 도메인 경험에 기반한 사전 분포이다. 본 논문 Ch.6 §3.3의 실측 분석에 따르면, 합성 대학 벤치마크의 per-query argmax Oracle 평균 가중치는 (α=0.11, β=0.16, γ=0.73) 으로 대부분의 질의에서 Ontology가 지배적이다. 즉 R-DWA의 simple→α 프라이어는 실제 보상 지형과 정렬되지 않는다.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3.2 연속 조정 λ의 단일 하이퍼파라미터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Stage 2의 λ=0.3은 전체 질의 분포에 대한 평균적 튜닝이다. 질의별 특성 (길이, 엔티티 수, 부정 포함 여부 등) 이 반영되지 않는다.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3.3 조건부 질의의 미세 구분 부재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Conditional 유형 내부에서도 (수치 제약 / 열거형 제약 / 배타 조건) 등 세부 구분이 존재하나, R-DWA는 모두 동일한 (0.2, 0.2, 0.6) 으로 처리한다. Ch.6 §4 의 per-type 분석은 conditional 에서 L-DWA가 F1_substring +131%를 달성함을 보여, 이 한계가 정량적으로 유의함을 실증한다.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3.4 도메인 간 이전 불가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R-DWA의 Table 4-1과 λ는 합성 대학 도메인에서 튜닝되었다. HotpotQA/MuSiQue 등 타 도메인에서 재튜닝 없이 사용 시 베이스라인 Vector-only 에도 미치지 못하는 성능이 Ch.6 §7에서 측정되었다 (HotpotQA F1_strict R-DWA 0.097 vs Vector-only 0.102).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4절 R-DWA 구현 및 재현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소스. src/dwa/rdwa.py::RuleBasedDWA(lambda_=0.3).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의존. src/intent/rule_based.py::RuleBasedIntent (한국어 정규식 기반 QueryAnalyzer).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테스트. tests/test_dwa_rdwa.py 9개 유닛 테스트 (본 논문 시작 시점 통과).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5절 R-DWA의 본 논문 재측정 결과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5.1 전체 (5,000 QA, 버그 수정 평가기)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95"/>
        <w:gridCol w:w="4195"/>
      </w:tblGrid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지표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R-DWA 측정치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F1_strict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0.137 ± 0.185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F1_substring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0.450 ± 0.445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EM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0.000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Faithfulness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0.835 ± 0.354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Total R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0.199 ± 0.120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평균 latency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1.19s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평균 선택 가중치: (α=0.25, β=0.45, γ=0.30). 즉 R-DWA는 Graph 지향적 이다 (multi-hop 기본값이 지배). 실측 Oracle이 Ontology 지향적인 것과 대조된다.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5.2 질의 유형별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78"/>
        <w:gridCol w:w="1678"/>
        <w:gridCol w:w="1678"/>
        <w:gridCol w:w="1678"/>
        <w:gridCol w:w="1678"/>
      </w:tblGrid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Type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n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F1_strict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F1_substring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Faith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simple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2,000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0.153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0.837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0.928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multi_hop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1,750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0.017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0.261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0.728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conditional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1,250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0.019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0.090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0.806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Conditional과 multi_hop에서 F1이 극도로 낮다. 이는 (i) 이 유형의 gold 답이 구조적으로 복수 항목 리스트여서 LLM 자연어 출력과의 토큰 매칭이 어렵고, (ii) R-DWA의 고정 가중치가 세부 특성에 둔감하기 때문이다. Ch.5 L-DWA가 이 한계를 어떻게 극복하는지가 본 논문의 핵심 실증이다.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5.3 선행 JKSCI와의 대비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</w:tblGrid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지표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JKSCI 보고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본 논문 측정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재현율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F1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0.86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0.137 (strict) / 0.450 (substring)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16% (strict) / 52% (substring)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EM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0.78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0.000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0% (구조적)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Faith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0.89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0.835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94%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Faithfulness의 94% 재현은 LLM 생성 품질이 일관됨을 의미한다. F1의 격차는 선행 논문 평가기의 엄격성 기준 미공개에 기인한다고 판단한다 (Ch.6 §3.3). F1_substring 0.450은 선행 F1 0.86의 52% 수준이며, 이는 우리의 substring 정의가 여전히 선행 평가 대비 더 엄격함을 시사한다 (예: 선행은 부분 문자 일치 등 더 관대한 측도일 가능성). 본 논문은 두 지표를 병기하여 선행 논문과의 연속성과 엄격 재평가를 동시에 제공한다.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6절 소결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R-DWA는 무학습 baseline 으로서 역할이 있으며, 본 논문의 Ch.5 L-DWA가 동일 파이프라인 위에서 얼마나 개선하는지 비교할 수 있는 정식 기준선이다. R-DWA의 한계들 — 도메인 편향, 단일 λ, 유형 내 미세 구분 부재, 도메인 이전 불가 — 은 Ch.5의 학습형 접근을 동기부여한다.</w:t>
      </w:r>
    </w:p>
    <w:sectPr w:rsidR="00FC693F" w:rsidRPr="0006063C" w:rsidSect="00034616">
      <w:pgSz w:w="10658" w:h="1457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