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v18</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L-DWA 는 R-DWA 대비 F1&lt;sub&gt;strict&lt;/sub&gt; 0.529 → 0.562 (±0.007), F1&lt;sub&gt;substring&lt;/sub&gt; 0.482 → 0.507 (±0.009), Faithfulness 0.544 → 0.580 (±0.009) 의 일관된 개선을 보였다. 주목할 점은 학습된 Dirichlet 평균이 66-점 이산 격자에서의 per-query argmax Oracle (F1&lt;sub&gt;strict&lt;/sub&gt;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F1&lt;sub&gt;strict&lt;/sub&gt;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F1&lt;sub&gt;strict&lt;/sub&gt; 0.529 → 0.562 (±0.007), F1&lt;sub&gt;substring&lt;/sub&gt; 0.482 → 0.507 (±0.009), and Faithfulness 0.544 → 0.580 (±0.009), averaged across three seeds. A more subtle observation is that the learned continuous Dirichlet mean slightly exceeds the per-query argmax Oracle defined on the 66-point discrete grid (F1&lt;sub&gt;strict&lt;/sub&gt;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F1&lt;sub&gt;strict&lt;/sub&gt;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spacing w:lineRule="auto" w:line="360" w:after="160"/>
      </w:pPr>
      <w:r>
        <w:rPr>
          <w:rFonts w:ascii="바탕" w:hAnsi="바탕" w:eastAsia="바탕"/>
          <w:b/>
          <w:sz w:val="22"/>
        </w:rPr>
        <w:t>3.1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spacing w:lineRule="auto" w:line="360" w:after="160"/>
      </w:pPr>
      <w:r>
        <w:rPr>
          <w:rFonts w:ascii="바탕" w:hAnsi="바탕" w:eastAsia="바탕"/>
          <w:b/>
          <w:sz w:val="22"/>
        </w:rPr>
        <w:t>3.2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F1&lt;sub&gt;strict&lt;/sub&gt; 는 0.562 ± 0.007 로, R-DWA 의 0.529 대비 6.2% 개선되었다. 더 흥미로운 점은 L-DWA 가 66-점 이산 격자에서의 per-query argmax Oracle (0.554) 을 F1&lt;sub&gt;strict&lt;/sub&gt;, F1&lt;sub&gt;substring&lt;/sub&gt;, F1&lt;sub&gt;char&lt;/sub&gt;,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0.304 로 36.7% 향상되며, 이 영역에서는 Oracle 마저 넘어선다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spacing w:lineRule="auto" w:line="360" w:after="160"/>
      </w:pPr>
      <w:r>
        <w:rPr>
          <w:rFonts w:ascii="바탕" w:hAnsi="바탕" w:eastAsia="바탕"/>
          <w:b/>
          <w:sz w:val="22"/>
        </w:rPr>
        <w:t>3.3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spacing w:lineRule="auto" w:line="360" w:after="160"/>
      </w:pPr>
      <w:r>
        <w:rPr>
          <w:rFonts w:ascii="바탕" w:hAnsi="바탕" w:eastAsia="바탕"/>
          <w:b/>
          <w:sz w:val="22"/>
        </w:rPr>
        <w:t>3.4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F1&lt;sub&gt;strict&lt;/sub&gt;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pPr>
      <w:r>
        <w:rPr>
          <w:rFonts w:ascii="바탕" w:hAnsi="바탕" w:eastAsia="바탕"/>
          <w:b/>
          <w:sz w:val="24"/>
        </w:rPr>
        <w:t>6절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spacing w:lineRule="auto" w:line="360" w:after="160"/>
      </w:pPr>
      <w:r>
        <w:rPr>
          <w:rFonts w:ascii="바탕" w:hAnsi="바탕" w:eastAsia="바탕"/>
          <w:b/>
          <w:sz w:val="22"/>
        </w:rPr>
        <w:t>6.1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spacing w:lineRule="auto" w:line="360" w:after="160"/>
      </w:pPr>
      <w:r>
        <w:rPr>
          <w:rFonts w:ascii="바탕" w:hAnsi="바탕" w:eastAsia="바탕"/>
          <w:b/>
          <w:sz w:val="22"/>
        </w:rPr>
        <w:t>6.2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spacing w:lineRule="auto" w:line="360" w:after="160"/>
      </w:pPr>
      <w:r>
        <w:rPr>
          <w:rFonts w:ascii="바탕" w:hAnsi="바탕" w:eastAsia="바탕"/>
          <w:b/>
          <w:sz w:val="22"/>
        </w:rPr>
        <w:t>6.3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(F1&lt;sub&gt;strict&lt;/sub&gt; std = 0.007). 이는 RL-RAG 결과의 재현성 문제를 외부에서 검증할 수 있는 최소 조건이라 본다.</w:t>
      </w:r>
    </w:p>
    <w:p>
      <w:pPr>
        <w:spacing w:lineRule="auto" w:line="360" w:after="160"/>
      </w:pPr>
      <w:r>
        <w:rPr>
          <w:rFonts w:ascii="바탕" w:hAnsi="바탕" w:eastAsia="바탕"/>
          <w:b/>
          <w:sz w:val="22"/>
        </w:rPr>
        <w:t>6.4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spacing w:lineRule="auto" w:line="360" w:after="160"/>
      </w:pPr>
      <w:r>
        <w:rPr>
          <w:rFonts w:ascii="바탕" w:hAnsi="바탕" w:eastAsia="바탕"/>
          <w:b/>
          <w:sz w:val="22"/>
        </w:rPr>
        <w:t>6.5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spacing w:lineRule="auto" w:line="480" w:after="0"/>
      </w:pPr>
      <w:r>
        <w:rPr>
          <w:rFonts w:ascii="바탕" w:hAnsi="바탕" w:eastAsia="바탕"/>
          <w:b w:val="0"/>
          <w:sz w:val="21"/>
        </w:rPr>
        <w:t>﻿# 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(s&lt;sub&gt;e&lt;/sub&gt;, s&lt;sub&gt;r&lt;/sub&gt;, s&lt;sub&gt;c&lt;/sub&gt;)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 [박스 3-1] 밀도 신호 (Density Signals)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xml:space="preserve">▸ [박스 3-2] 가중치 단순체 Δ³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480" w:after="0"/>
      </w:pPr>
      <w:r>
        <w:rPr>
          <w:rFonts w:ascii="바탕" w:hAnsi="바탕" w:eastAsia="바탕"/>
          <w:b w:val="0"/>
          <w:sz w:val="21"/>
        </w:rPr>
        <w:t>﻿# 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 [박스 4-1] R-DWA 규칙 한 번에 돌려보기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spacing w:lineRule="auto" w:line="360" w:after="160"/>
      </w:pPr>
      <w:r>
        <w:rPr>
          <w:rFonts w:ascii="바탕" w:hAnsi="바탕" w:eastAsia="바탕"/>
          <w:b/>
          <w:sz w:val="24"/>
        </w:rPr>
        <w:t>3절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Ch.6 §3.3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Ch.6 §4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F1&lt;sub&gt;strict&lt;/sub&gt; 는 0.097 로, 같은 조건의 Vector-only 0.102 에 미치지 못한다 (Ch.6 §7.2).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480" w:after="0"/>
      </w:pPr>
      <w:r>
        <w:rPr>
          <w:rFonts w:ascii="바탕" w:hAnsi="바탕" w:eastAsia="바탕"/>
          <w:b w:val="0"/>
          <w:sz w:val="21"/>
        </w:rPr>
        <w:t>﻿# 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xml:space="preserve">▸ [박스 5-1] MDP 튜플 (S, A, P, R, γ&lt;sub&gt;d&lt;/sub&gt;)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 [박스 5-2] PPO Clip 목적 함수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spacing w:lineRule="auto" w:line="360" w:after="160"/>
      </w:pPr>
      <w:r>
        <w:rPr>
          <w:rFonts w:ascii="바탕" w:hAnsi="바탕" w:eastAsia="바탕"/>
          <w:b/>
          <w:sz w:val="22"/>
        </w:rPr>
        <w:t>3.6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spacing w:lineRule="auto" w:line="360" w:after="160"/>
      </w:pPr>
      <w:r>
        <w:rPr>
          <w:rFonts w:ascii="바탕" w:hAnsi="바탕" w:eastAsia="바탕"/>
          <w:b/>
          <w:sz w:val="22"/>
        </w:rPr>
        <w:t>3.7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480" w:after="0"/>
      </w:pPr>
      <w:r>
        <w:rPr>
          <w:rFonts w:ascii="바탕" w:hAnsi="바탕" w:eastAsia="바탕"/>
          <w:b w:val="0"/>
          <w:sz w:val="21"/>
        </w:rPr>
        <w:t>﻿# 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xml:space="preserve">▸ [박스 6-4] Faithfulness (2-branch)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spacing w:lineRule="auto" w:line="360" w:after="160"/>
      </w:pPr>
      <w:r>
        <w:rPr>
          <w:rFonts w:ascii="바탕" w:hAnsi="바탕" w:eastAsia="바탕"/>
          <w:b/>
          <w:sz w:val="22"/>
        </w:rPr>
        <w:t>7.4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F1&lt;sub&gt;strict&lt;/sub&gt;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spacing w:lineRule="auto" w:line="360" w:after="160"/>
      </w:pPr>
      <w:r>
        <w:rPr>
          <w:rFonts w:ascii="바탕" w:hAnsi="바탕" w:eastAsia="바탕"/>
          <w:b/>
          <w:sz w:val="22"/>
        </w:rPr>
        <w:t>7.5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(한국어 intent)</w:t>
            </w:r>
          </w:p>
        </w:tc>
        <w:tc>
          <w:tcPr>
            <w:tcW w:type="dxa" w:w="2097"/>
          </w:tcPr>
          <w:p>
            <w:pPr>
              <w:spacing w:lineRule="auto" w:line="276" w:after="0"/>
            </w:pPr>
            <w:r/>
            <w:r>
              <w:rPr>
                <w:rFonts w:ascii="바탕" w:hAnsi="바탕" w:eastAsia="바탕"/>
                <w:b/>
                <w:sz w:val="19"/>
              </w:rPr>
              <w:t>F1&lt;sub&gt;strict&lt;/sub&gt;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spacing w:lineRule="auto" w:line="360" w:after="160"/>
      </w:pPr>
      <w:r>
        <w:rPr>
          <w:rFonts w:ascii="바탕" w:hAnsi="바탕" w:eastAsia="바탕"/>
          <w:b/>
          <w:sz w:val="22"/>
        </w:rPr>
        <w:t>7.6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F1&lt;sub&gt;char&lt;/sub&gt;</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F1&lt;sub&gt;strict&lt;/sub&gt;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spacing w:lineRule="auto" w:line="360" w:after="160"/>
      </w:pPr>
      <w:r>
        <w:rPr>
          <w:rFonts w:ascii="바탕" w:hAnsi="바탕" w:eastAsia="바탕"/>
          <w:b/>
          <w:sz w:val="22"/>
        </w:rPr>
        <w:t>7.7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F1&lt;sub&gt;strict&lt;/sub&gt;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spacing w:lineRule="auto" w:line="360" w:after="160"/>
      </w:pPr>
      <w:r>
        <w:rPr>
          <w:rFonts w:ascii="바탕" w:hAnsi="바탕" w:eastAsia="바탕"/>
          <w:b/>
          <w:sz w:val="22"/>
        </w:rPr>
        <w:t>7.8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spacing w:lineRule="auto" w:line="360" w:after="160"/>
      </w:pPr>
      <w:r>
        <w:rPr>
          <w:rFonts w:ascii="바탕" w:hAnsi="바탕" w:eastAsia="바탕"/>
          <w:b/>
          <w:sz w:val="22"/>
        </w:rPr>
        <w:t>2.2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spacing w:lineRule="auto" w:line="360" w:after="160"/>
      </w:pPr>
      <w:r>
        <w:rPr>
          <w:rFonts w:ascii="바탕" w:hAnsi="바탕" w:eastAsia="바탕"/>
          <w:b/>
          <w:sz w:val="22"/>
        </w:rPr>
        <w:t>2.3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spacing w:lineRule="auto" w:line="360" w:after="160"/>
      </w:pPr>
      <w:r>
        <w:rPr>
          <w:rFonts w:ascii="바탕" w:hAnsi="바탕" w:eastAsia="바탕"/>
          <w:b/>
          <w:sz w:val="22"/>
        </w:rPr>
        <w:t>2.4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F1&lt;sub&gt;strict&lt;/sub&gt;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F1&lt;sub&gt;strict&lt;/sub&gt;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F1&lt;sub&gt;strict&lt;/sub&gt;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F1&lt;sub&gt;strict&lt;/sub&gt;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(F1&lt;sub&gt;strict&lt;/sub&gt;)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F1&lt;sub&gt;strict&lt;/sub&gt;</w:t>
            </w:r>
          </w:p>
        </w:tc>
        <w:tc>
          <w:tcPr>
            <w:tcW w:type="dxa" w:w="2097"/>
          </w:tcPr>
          <w:p>
            <w:pPr>
              <w:spacing w:lineRule="auto" w:line="276" w:after="0"/>
            </w:pPr>
            <w:r/>
            <w:r>
              <w:rPr>
                <w:rFonts w:ascii="바탕" w:hAnsi="바탕" w:eastAsia="바탕"/>
                <w:b/>
                <w:sz w:val="19"/>
              </w:rPr>
              <w:t>L-DWA F1&lt;sub&gt;strict&lt;/sub&gt;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(λ&lt;sub&gt;F1&lt;/sub&gt;, λ&lt;sub&gt;EM&lt;/sub&gt;, λ&lt;sub&gt;Faith&lt;/sub&gt;)</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F1&lt;sub&gt;strict&lt;/sub&gt;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