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v7</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기존 연구인 Shin &amp; Moon (2025, JKSCI)의 Rule-based Dynamic Weighting Algorithm (R-DWA)은 질의 유형별 기본 가중치와 밀도 신호 기반 연속 조정의 2단계 규칙으로 세 소스의 가중치 (α, β, γ)를 결정하나, (i) 기본 가중치 테이블의 도메인 편향, (ii) 단일 하이퍼파라미터 λ의 한계, (iii) 조건부 질의 유형의 세부 미구분, (iv) 도메인 이전 불가의 네 가지 구조적 한계를 가진다.</w:t>
      </w:r>
    </w:p>
    <w:p>
      <w:pPr>
        <w:spacing w:lineRule="auto" w:line="480" w:after="0"/>
      </w:pPr>
      <w:r>
        <w:rPr>
          <w:rFonts w:ascii="바탕" w:hAnsi="바탕" w:eastAsia="바탕"/>
          <w:b w:val="0"/>
          <w:sz w:val="21"/>
        </w:rPr>
        <w:t>본 논문은 Triple-Hybrid RAG의 가중치 결정을 18차원 상태 × 3-simplex 행동의 1-step Markov Decision Process로 공식화하고, Proximal Policy Optimization (PPO)로 Actor-Critic 네트워크(5,636 파라미터)를 학습하는 Learned Dynamic Weighting Algorithm (L-DWA)을 제안한다. 학습 비용 장벽 해소를 위해 330,000 엔트리 오프라인 보상 캐시를 구축하여 PPO 학습 중 LLM API 호출을 0으로 유지하고 3 seeds 학습 비용을 $288에서 $33으로 85% 절감하였다.</w:t>
      </w:r>
    </w:p>
    <w:p>
      <w:pPr>
        <w:spacing w:lineRule="auto" w:line="480" w:after="0"/>
      </w:pPr>
      <w:r>
        <w:rPr>
          <w:rFonts w:ascii="바탕" w:hAnsi="바탕" w:eastAsia="바탕"/>
          <w:b w:val="0"/>
          <w:sz w:val="21"/>
        </w:rPr>
        <w:t>합성 대학 행정 5,000 QA 벤치마크에서 3 seeds (42, 123, 999) 실험 결과, L-DWA는 R-DWA 대비 F1_strict 0.137→0.167 +21.9%, F1_substring 0.450→0.488 +8.4%, Faithfulness 0.835→0.866 +3.6%, Total Reward 0.199→0.215 +7.6%의 통계적으로 유의미한 개선을 달성하였다. 특히 조건부 질의 유형(n=1,250)에서 F1_substring 0.090→0.208의 +131% 상대 개선을 기록하였고, 이는 per-query argmax Oracle의 0.195를 상회하여 per-query 학습형 가중치의 질적 우월성을 실증한다. L-DWA는 Oracle 상한 성능의 F1_strict 99.4%, Faithfulness 97.5%에 도달하며, F1_substring에서는 Oracle을 초과한다.</w:t>
      </w:r>
    </w:p>
    <w:p>
      <w:pPr>
        <w:spacing w:lineRule="auto" w:line="480" w:after="0"/>
      </w:pPr>
      <w:r>
        <w:rPr>
          <w:rFonts w:ascii="바탕" w:hAnsi="바탕" w:eastAsia="바탕"/>
          <w:b w:val="0"/>
          <w:sz w:val="21"/>
        </w:rPr>
        <w:t>또한 본 논문은 이중 F1 평가 체계 (F1_strict: 한국어 조사·구두점 제거 기반 엄격, F1_substring: 콤마 리스트 gold 호환 loose)를 도입하여 선행 연구와의 호환성과 엄격 재평가의 투명성을 동시에 제공한다. HotpotQA/MuSiQue/PubMedQA 교차 도메인 실험에서는 합성 대학 학습 L-DWA의 naive transfer가 Vector-only 베이스라인 대비 −30 ~ −35% 저하함을 보고하여 도메인 특화 학습이 본 프레임워크 가치의 전제임을 확립한다. 모든 코드·캐시·체크포인트는 GitHub (sdw1621/triple-rag-phd)에 공개되어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Rule-based Dynamic Weighting Algorithm (R-DWA) of Shin &amp; Moon (2025, JKSCI) determines the three source weights (α, β, γ) via a two-stage rule (query-type base weights + density-driven continuous adjustment), but has four structural limitations: (i) domain bias in the base-weight table, (ii) a single-parameter λ for density adjustment, (iii) lack of sub-type resolution for conditional queries, and (iv) inability to transfer across domains.</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Learned Dynamic Weighting Algorithm (L-DWA) that trains an Actor-Critic network (5,636 parameters) via Proximal Policy Optimization (PPO). To eliminate the training-cost barrier,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On the 5,000 QA synthetic university benchmark with seeds {42, 123, 999}, L-DWA outperforms R-DWA by F1_strict +21.9% (0.137→0.167), F1_substring +8.4% (0.450→0.488), Faithfulness +3.6% (0.835→0.866), and Total Reward +7.6% (0.199→0.215). The per-type breakdown reveals a +131% relative improvement in F1_substring on conditional queries (0.090→0.208), where L-DWA exceeds the per-query argmax Oracle (0.195). Overall L-DWA reaches 99.4% of Oracle F1_strict and 97.5% of Oracle Faithfulness, and exceeds Oracle on F1_substring (0.488 &gt; 0.483), demonstrating that the learned policy generalizes beyond its training objective.</w:t>
      </w:r>
    </w:p>
    <w:p>
      <w:pPr>
        <w:spacing w:lineRule="auto" w:line="480" w:after="0"/>
      </w:pPr>
      <w:r>
        <w:rPr>
          <w:rFonts w:ascii="바탕" w:hAnsi="바탕" w:eastAsia="바탕"/>
          <w:b w:val="0"/>
          <w:sz w:val="21"/>
        </w:rPr>
        <w:t>The dissertation also introduces a dual F1 evaluation scheme (F1_strict with Korean particle/punctuation stripping; F1_substring compatible with comma-list gold answers) to provide both strict re-evaluation and continuity with prior work. Cross-domain experiments on HotpotQA / MuSiQue / PubMedQA report a −30~−35% degradation of the university-trained L-DWA when naively transferred, establishing domain-specific learning as a prerequisite for the framework's value. All code, caches, and checkpoints are publicly available at github.com/sdw1621/triple-rag-phd for full reproducibility.</w:t>
      </w:r>
    </w:p>
    <w:p>
      <w:pPr>
        <w:spacing w:lineRule="auto" w:line="480" w:after="0"/>
      </w:pPr>
      <w:r>
        <w:rPr>
          <w:rFonts w:ascii="바탕" w:hAnsi="바탕" w:eastAsia="바탕"/>
          <w:b w:val="0"/>
          <w:sz w:val="21"/>
        </w:rPr>
        <w:t>Keywords: Triple-Hybrid RAG, Reinforcement Learning, Proximal Policy Optimization, Dynamic Weighting, Offline Reward Cache, Korean QA, Knowledge Graph, Ontology</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pStyle w:val="ListBullet"/>
        <w:spacing w:lineRule="auto" w:line="360" w:after="0"/>
      </w:pPr>
      <w:r>
        <w:rPr>
          <w:rFonts w:ascii="바탕" w:hAnsi="바탕" w:eastAsia="바탕"/>
          <w:b w:val="0"/>
          <w:sz w:val="21"/>
        </w:rPr>
        <w:t>L-DWA는 R-DWA 대비 F1_strict +21.9% (0.137 → 0.167), F1_substring +8.4% (0.450 → 0.488), Faithfulness +3.6% (0.835 → 0.865) 를 달성하며 (Ch.6 §3).</w:t>
      </w:r>
    </w:p>
    <w:p>
      <w:pPr>
        <w:pStyle w:val="ListBullet"/>
        <w:spacing w:lineRule="auto" w:line="360" w:after="0"/>
      </w:pPr>
      <w:r>
        <w:rPr>
          <w:rFonts w:ascii="바탕" w:hAnsi="바탕" w:eastAsia="바탕"/>
          <w:b w:val="0"/>
          <w:sz w:val="21"/>
        </w:rPr>
        <w:t>특히 Conditional 질의 유형에서 F1_substring +131% (0.090 → 0.208) 를 기록하여 per-query 학습형 가중치의 효능이 수작업 규칙 기반의 한계를 질적으로 초과함을 실증한다 (Ch.6 §4).</w:t>
      </w:r>
    </w:p>
    <w:p>
      <w:pPr>
        <w:pStyle w:val="ListBullet"/>
        <w:spacing w:lineRule="auto" w:line="360" w:after="0"/>
      </w:pPr>
      <w:r>
        <w:rPr>
          <w:rFonts w:ascii="바탕" w:hAnsi="바탕" w:eastAsia="바탕"/>
          <w:b w:val="0"/>
          <w:sz w:val="21"/>
        </w:rPr>
        <w:t>L-DWA의 학습 정책은 per-query argmax Oracle 대비 F1_strict 99.4%, Faithfulness 97.4% 성능에 근접하며, F1_substring에서는 Oracle을 0.488 &gt; 0.483으로 초과하여 학습 목표(Total Reward) 외 지표까지 robust하게 일반화함을 보인다 (Ch.6 §3.2).</w:t>
      </w:r>
    </w:p>
    <w:p>
      <w:pPr>
        <w:pStyle w:val="ListBullet"/>
        <w:spacing w:lineRule="auto" w:line="360" w:after="0"/>
      </w:pPr>
      <w:r>
        <w:rPr>
          <w:rFonts w:ascii="바탕" w:hAnsi="바탕" w:eastAsia="바탕"/>
          <w:b w:val="0"/>
          <w:sz w:val="21"/>
        </w:rPr>
        <w:t>한편 합성 대학 도메인에서 학습된 L-DWA를 HotpotQA, MuSiQue, PubMedQA에 naive transfer할 경우 Vector-only 베이스라인 대비 F1 −30 ~ −35% 저하가 발생하며, 이는 "도메인 특화 학습이 본 프레임워크 가치의 필수 요소" 라는 솔직한 경계 조건을 제공한다 (Ch.6 §7).</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(5,000 QA)</w:t>
      </w:r>
    </w:p>
    <w:p>
      <w:pPr>
        <w:spacing w:lineRule="auto" w:line="360" w:after="160"/>
      </w:pPr>
      <w:r>
        <w:rPr>
          <w:rFonts w:ascii="바탕" w:hAnsi="바탕" w:eastAsia="바탕"/>
          <w:b/>
          <w:sz w:val="22"/>
        </w:rPr>
        <w:t>3.1 [표 6-2] 전체 정책 성능 (수정 평가기)</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Faithfulness</w:t>
            </w:r>
          </w:p>
        </w:tc>
        <w:tc>
          <w:tcPr>
            <w:tcW w:type="dxa" w:w="1678"/>
          </w:tcPr>
          <w:p>
            <w:pPr>
              <w:spacing w:lineRule="auto" w:line="276" w:after="0"/>
            </w:pPr>
            <w:r/>
            <w:r>
              <w:rPr>
                <w:rFonts w:ascii="바탕" w:hAnsi="바탕" w:eastAsia="바탕"/>
                <w:b/>
                <w:sz w:val="19"/>
              </w:rPr>
              <w:t>Total R</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0.082 ± 0.17</w:t>
            </w:r>
          </w:p>
        </w:tc>
        <w:tc>
          <w:tcPr>
            <w:tcW w:type="dxa" w:w="1678"/>
          </w:tcPr>
          <w:p>
            <w:pPr>
              <w:spacing w:lineRule="auto" w:line="276" w:after="0"/>
            </w:pPr>
            <w:r/>
            <w:r>
              <w:rPr>
                <w:rFonts w:ascii="바탕" w:hAnsi="바탕" w:eastAsia="바탕"/>
                <w:b w:val="0"/>
                <w:sz w:val="19"/>
              </w:rPr>
              <w:t>0.334 ± 0.41</w:t>
            </w:r>
          </w:p>
        </w:tc>
        <w:tc>
          <w:tcPr>
            <w:tcW w:type="dxa" w:w="1678"/>
          </w:tcPr>
          <w:p>
            <w:pPr>
              <w:spacing w:lineRule="auto" w:line="276" w:after="0"/>
            </w:pPr>
            <w:r/>
            <w:r>
              <w:rPr>
                <w:rFonts w:ascii="바탕" w:hAnsi="바탕" w:eastAsia="바탕"/>
                <w:b w:val="0"/>
                <w:sz w:val="19"/>
              </w:rPr>
              <w:t>0.742 ± 0.43</w:t>
            </w:r>
          </w:p>
        </w:tc>
        <w:tc>
          <w:tcPr>
            <w:tcW w:type="dxa" w:w="1678"/>
          </w:tcPr>
          <w:p>
            <w:pPr>
              <w:spacing w:lineRule="auto" w:line="276" w:after="0"/>
            </w:pPr>
            <w:r/>
            <w:r>
              <w:rPr>
                <w:rFonts w:ascii="바탕" w:hAnsi="바탕" w:eastAsia="바탕"/>
                <w:b w:val="0"/>
                <w:sz w:val="19"/>
              </w:rPr>
              <w:t>0.187 ± 0.15</w:t>
            </w:r>
          </w:p>
        </w:tc>
      </w:tr>
      <w:tr>
        <w:tc>
          <w:tcPr>
            <w:tcW w:type="dxa" w:w="1678"/>
          </w:tcPr>
          <w:p>
            <w:pPr>
              <w:spacing w:lineRule="auto" w:line="276" w:after="0"/>
            </w:pPr>
            <w:r/>
            <w:r>
              <w:rPr>
                <w:rFonts w:ascii="바탕" w:hAnsi="바탕" w:eastAsia="바탕"/>
                <w:b w:val="0"/>
                <w:sz w:val="19"/>
              </w:rPr>
              <w:t>Graph-only</w:t>
            </w:r>
          </w:p>
        </w:tc>
        <w:tc>
          <w:tcPr>
            <w:tcW w:type="dxa" w:w="1678"/>
          </w:tcPr>
          <w:p>
            <w:pPr>
              <w:spacing w:lineRule="auto" w:line="276" w:after="0"/>
            </w:pPr>
            <w:r/>
            <w:r>
              <w:rPr>
                <w:rFonts w:ascii="바탕" w:hAnsi="바탕" w:eastAsia="바탕"/>
                <w:b w:val="0"/>
                <w:sz w:val="19"/>
              </w:rPr>
              <w:t>0.043 ± 0.14</w:t>
            </w:r>
          </w:p>
        </w:tc>
        <w:tc>
          <w:tcPr>
            <w:tcW w:type="dxa" w:w="1678"/>
          </w:tcPr>
          <w:p>
            <w:pPr>
              <w:spacing w:lineRule="auto" w:line="276" w:after="0"/>
            </w:pPr>
            <w:r/>
            <w:r>
              <w:rPr>
                <w:rFonts w:ascii="바탕" w:hAnsi="바탕" w:eastAsia="바탕"/>
                <w:b w:val="0"/>
                <w:sz w:val="19"/>
              </w:rPr>
              <w:t>0.196 ± 0.38</w:t>
            </w:r>
          </w:p>
        </w:tc>
        <w:tc>
          <w:tcPr>
            <w:tcW w:type="dxa" w:w="1678"/>
          </w:tcPr>
          <w:p>
            <w:pPr>
              <w:spacing w:lineRule="auto" w:line="276" w:after="0"/>
            </w:pPr>
            <w:r/>
            <w:r>
              <w:rPr>
                <w:rFonts w:ascii="바탕" w:hAnsi="바탕" w:eastAsia="바탕"/>
                <w:b w:val="0"/>
                <w:sz w:val="19"/>
              </w:rPr>
              <w:t>0.661 ± 0.47</w:t>
            </w:r>
          </w:p>
        </w:tc>
        <w:tc>
          <w:tcPr>
            <w:tcW w:type="dxa" w:w="1678"/>
          </w:tcPr>
          <w:p>
            <w:pPr>
              <w:spacing w:lineRule="auto" w:line="276" w:after="0"/>
            </w:pPr>
            <w:r/>
            <w:r>
              <w:rPr>
                <w:rFonts w:ascii="바탕" w:hAnsi="바탕" w:eastAsia="바탕"/>
                <w:b w:val="0"/>
                <w:sz w:val="19"/>
              </w:rPr>
              <w:t>0.080</w:t>
            </w:r>
          </w:p>
        </w:tc>
      </w:tr>
      <w:tr>
        <w:tc>
          <w:tcPr>
            <w:tcW w:type="dxa" w:w="1678"/>
          </w:tcPr>
          <w:p>
            <w:pPr>
              <w:spacing w:lineRule="auto" w:line="276" w:after="0"/>
            </w:pPr>
            <w:r/>
            <w:r>
              <w:rPr>
                <w:rFonts w:ascii="바탕" w:hAnsi="바탕" w:eastAsia="바탕"/>
                <w:b w:val="0"/>
                <w:sz w:val="19"/>
              </w:rPr>
              <w:t>Ontology-only</w:t>
            </w:r>
          </w:p>
        </w:tc>
        <w:tc>
          <w:tcPr>
            <w:tcW w:type="dxa" w:w="1678"/>
          </w:tcPr>
          <w:p>
            <w:pPr>
              <w:spacing w:lineRule="auto" w:line="276" w:after="0"/>
            </w:pPr>
            <w:r/>
            <w:r>
              <w:rPr>
                <w:rFonts w:ascii="바탕" w:hAnsi="바탕" w:eastAsia="바탕"/>
                <w:b w:val="0"/>
                <w:sz w:val="19"/>
              </w:rPr>
              <w:t>0.045 ± 0.15</w:t>
            </w:r>
          </w:p>
        </w:tc>
        <w:tc>
          <w:tcPr>
            <w:tcW w:type="dxa" w:w="1678"/>
          </w:tcPr>
          <w:p>
            <w:pPr>
              <w:spacing w:lineRule="auto" w:line="276" w:after="0"/>
            </w:pPr>
            <w:r/>
            <w:r>
              <w:rPr>
                <w:rFonts w:ascii="바탕" w:hAnsi="바탕" w:eastAsia="바탕"/>
                <w:b w:val="0"/>
                <w:sz w:val="19"/>
              </w:rPr>
              <w:t>0.220 ± 0.38</w:t>
            </w:r>
          </w:p>
        </w:tc>
        <w:tc>
          <w:tcPr>
            <w:tcW w:type="dxa" w:w="1678"/>
          </w:tcPr>
          <w:p>
            <w:pPr>
              <w:spacing w:lineRule="auto" w:line="276" w:after="0"/>
            </w:pPr>
            <w:r/>
            <w:r>
              <w:rPr>
                <w:rFonts w:ascii="바탕" w:hAnsi="바탕" w:eastAsia="바탕"/>
                <w:b w:val="0"/>
                <w:sz w:val="19"/>
              </w:rPr>
              <w:t>0.711 ± 0.45</w:t>
            </w:r>
          </w:p>
        </w:tc>
        <w:tc>
          <w:tcPr>
            <w:tcW w:type="dxa" w:w="1678"/>
          </w:tcPr>
          <w:p>
            <w:pPr>
              <w:spacing w:lineRule="auto" w:line="276" w:after="0"/>
            </w:pPr>
            <w:r/>
            <w:r>
              <w:rPr>
                <w:rFonts w:ascii="바탕" w:hAnsi="바탕" w:eastAsia="바탕"/>
                <w:b w:val="0"/>
                <w:sz w:val="19"/>
              </w:rPr>
              <w:t>0.164 ± 0.13</w:t>
            </w:r>
          </w:p>
        </w:tc>
      </w:tr>
      <w:tr>
        <w:tc>
          <w:tcPr>
            <w:tcW w:type="dxa" w:w="1678"/>
          </w:tcPr>
          <w:p>
            <w:pPr>
              <w:spacing w:lineRule="auto" w:line="276" w:after="0"/>
            </w:pPr>
            <w:r/>
            <w:r>
              <w:rPr>
                <w:rFonts w:ascii="바탕" w:hAnsi="바탕" w:eastAsia="바탕"/>
                <w:b w:val="0"/>
                <w:sz w:val="19"/>
              </w:rPr>
              <w:t>Uniform (1/3, 1/3, 1/3)</w:t>
            </w:r>
          </w:p>
        </w:tc>
        <w:tc>
          <w:tcPr>
            <w:tcW w:type="dxa" w:w="1678"/>
          </w:tcPr>
          <w:p>
            <w:pPr>
              <w:spacing w:lineRule="auto" w:line="276" w:after="0"/>
            </w:pPr>
            <w:r/>
            <w:r>
              <w:rPr>
                <w:rFonts w:ascii="바탕" w:hAnsi="바탕" w:eastAsia="바탕"/>
                <w:b w:val="0"/>
                <w:sz w:val="19"/>
              </w:rPr>
              <w:t>0.083 ± 0.17</w:t>
            </w:r>
          </w:p>
        </w:tc>
        <w:tc>
          <w:tcPr>
            <w:tcW w:type="dxa" w:w="1678"/>
          </w:tcPr>
          <w:p>
            <w:pPr>
              <w:spacing w:lineRule="auto" w:line="276" w:after="0"/>
            </w:pPr>
            <w:r/>
            <w:r>
              <w:rPr>
                <w:rFonts w:ascii="바탕" w:hAnsi="바탕" w:eastAsia="바탕"/>
                <w:b w:val="0"/>
                <w:sz w:val="19"/>
              </w:rPr>
              <w:t>0.362 ± 0.42</w:t>
            </w:r>
          </w:p>
        </w:tc>
        <w:tc>
          <w:tcPr>
            <w:tcW w:type="dxa" w:w="1678"/>
          </w:tcPr>
          <w:p>
            <w:pPr>
              <w:spacing w:lineRule="auto" w:line="276" w:after="0"/>
            </w:pPr>
            <w:r/>
            <w:r>
              <w:rPr>
                <w:rFonts w:ascii="바탕" w:hAnsi="바탕" w:eastAsia="바탕"/>
                <w:b w:val="0"/>
                <w:sz w:val="19"/>
              </w:rPr>
              <w:t>0.844 ± 0.35</w:t>
            </w:r>
          </w:p>
        </w:tc>
        <w:tc>
          <w:tcPr>
            <w:tcW w:type="dxa" w:w="1678"/>
          </w:tcPr>
          <w:p>
            <w:pPr>
              <w:spacing w:lineRule="auto" w:line="276" w:after="0"/>
            </w:pPr>
            <w:r/>
            <w:r>
              <w:rPr>
                <w:rFonts w:ascii="바탕" w:hAnsi="바탕" w:eastAsia="바탕"/>
                <w:b w:val="0"/>
                <w:sz w:val="19"/>
              </w:rPr>
              <w:t>0.209 ± 0.12</w:t>
            </w:r>
          </w:p>
        </w:tc>
      </w:tr>
      <w:tr>
        <w:tc>
          <w:tcPr>
            <w:tcW w:type="dxa" w:w="1678"/>
          </w:tcPr>
          <w:p>
            <w:pPr>
              <w:spacing w:lineRule="auto" w:line="276" w:after="0"/>
            </w:pPr>
            <w:r/>
            <w:r>
              <w:rPr>
                <w:rFonts w:ascii="바탕" w:hAnsi="바탕" w:eastAsia="바탕"/>
                <w:b w:val="0"/>
                <w:sz w:val="19"/>
              </w:rPr>
              <w:t>R-DWA (선행 연구 베이스라인)</w:t>
            </w:r>
          </w:p>
        </w:tc>
        <w:tc>
          <w:tcPr>
            <w:tcW w:type="dxa" w:w="1678"/>
          </w:tcPr>
          <w:p>
            <w:pPr>
              <w:spacing w:lineRule="auto" w:line="276" w:after="0"/>
            </w:pPr>
            <w:r/>
            <w:r>
              <w:rPr>
                <w:rFonts w:ascii="바탕" w:hAnsi="바탕" w:eastAsia="바탕"/>
                <w:b w:val="0"/>
                <w:sz w:val="19"/>
              </w:rPr>
              <w:t>0.137 ± 0.19</w:t>
            </w:r>
          </w:p>
        </w:tc>
        <w:tc>
          <w:tcPr>
            <w:tcW w:type="dxa" w:w="1678"/>
          </w:tcPr>
          <w:p>
            <w:pPr>
              <w:spacing w:lineRule="auto" w:line="276" w:after="0"/>
            </w:pPr>
            <w:r/>
            <w:r>
              <w:rPr>
                <w:rFonts w:ascii="바탕" w:hAnsi="바탕" w:eastAsia="바탕"/>
                <w:b w:val="0"/>
                <w:sz w:val="19"/>
              </w:rPr>
              <w:t>0.450 ± 0.44</w:t>
            </w:r>
          </w:p>
        </w:tc>
        <w:tc>
          <w:tcPr>
            <w:tcW w:type="dxa" w:w="1678"/>
          </w:tcPr>
          <w:p>
            <w:pPr>
              <w:spacing w:lineRule="auto" w:line="276" w:after="0"/>
            </w:pPr>
            <w:r/>
            <w:r>
              <w:rPr>
                <w:rFonts w:ascii="바탕" w:hAnsi="바탕" w:eastAsia="바탕"/>
                <w:b w:val="0"/>
                <w:sz w:val="19"/>
              </w:rPr>
              <w:t>0.835 ± 0.35</w:t>
            </w:r>
          </w:p>
        </w:tc>
        <w:tc>
          <w:tcPr>
            <w:tcW w:type="dxa" w:w="1678"/>
          </w:tcPr>
          <w:p>
            <w:pPr>
              <w:spacing w:lineRule="auto" w:line="276" w:after="0"/>
            </w:pPr>
            <w:r/>
            <w:r>
              <w:rPr>
                <w:rFonts w:ascii="바탕" w:hAnsi="바탕" w:eastAsia="바탕"/>
                <w:b w:val="0"/>
                <w:sz w:val="19"/>
              </w:rPr>
              <w:t>0.199 ± 0.12</w:t>
            </w:r>
          </w:p>
        </w:tc>
      </w:tr>
      <w:tr>
        <w:tc>
          <w:tcPr>
            <w:tcW w:type="dxa" w:w="1678"/>
          </w:tcPr>
          <w:p>
            <w:pPr>
              <w:spacing w:lineRule="auto" w:line="276" w:after="0"/>
            </w:pPr>
            <w:r/>
            <w:r>
              <w:rPr>
                <w:rFonts w:ascii="바탕" w:hAnsi="바탕" w:eastAsia="바탕"/>
                <w:b w:val="0"/>
                <w:sz w:val="19"/>
              </w:rPr>
              <w:t>L-DWA (본 연구, 3 seeds)</w:t>
            </w:r>
          </w:p>
        </w:tc>
        <w:tc>
          <w:tcPr>
            <w:tcW w:type="dxa" w:w="1678"/>
          </w:tcPr>
          <w:p>
            <w:pPr>
              <w:spacing w:lineRule="auto" w:line="276" w:after="0"/>
            </w:pPr>
            <w:r/>
            <w:r>
              <w:rPr>
                <w:rFonts w:ascii="바탕" w:hAnsi="바탕" w:eastAsia="바탕"/>
                <w:b w:val="0"/>
                <w:sz w:val="19"/>
              </w:rPr>
              <w:t>0.167 ± 0.001</w:t>
            </w:r>
          </w:p>
        </w:tc>
        <w:tc>
          <w:tcPr>
            <w:tcW w:type="dxa" w:w="1678"/>
          </w:tcPr>
          <w:p>
            <w:pPr>
              <w:spacing w:lineRule="auto" w:line="276" w:after="0"/>
            </w:pPr>
            <w:r/>
            <w:r>
              <w:rPr>
                <w:rFonts w:ascii="바탕" w:hAnsi="바탕" w:eastAsia="바탕"/>
                <w:b w:val="0"/>
                <w:sz w:val="19"/>
              </w:rPr>
              <w:t>0.488 ± 0.006</w:t>
            </w:r>
          </w:p>
        </w:tc>
        <w:tc>
          <w:tcPr>
            <w:tcW w:type="dxa" w:w="1678"/>
          </w:tcPr>
          <w:p>
            <w:pPr>
              <w:spacing w:lineRule="auto" w:line="276" w:after="0"/>
            </w:pPr>
            <w:r/>
            <w:r>
              <w:rPr>
                <w:rFonts w:ascii="바탕" w:hAnsi="바탕" w:eastAsia="바탕"/>
                <w:b w:val="0"/>
                <w:sz w:val="19"/>
              </w:rPr>
              <w:t>0.866 ± 0.004</w:t>
            </w:r>
          </w:p>
        </w:tc>
        <w:tc>
          <w:tcPr>
            <w:tcW w:type="dxa" w:w="1678"/>
          </w:tcPr>
          <w:p>
            <w:pPr>
              <w:spacing w:lineRule="auto" w:line="276" w:after="0"/>
            </w:pPr>
            <w:r/>
            <w:r>
              <w:rPr>
                <w:rFonts w:ascii="바탕" w:hAnsi="바탕" w:eastAsia="바탕"/>
                <w:b w:val="0"/>
                <w:sz w:val="19"/>
              </w:rPr>
              <w:t>0.215 ± 0.002</w:t>
            </w:r>
          </w:p>
        </w:tc>
      </w:tr>
      <w:tr>
        <w:tc>
          <w:tcPr>
            <w:tcW w:type="dxa" w:w="1678"/>
          </w:tcPr>
          <w:p>
            <w:pPr>
              <w:spacing w:lineRule="auto" w:line="276" w:after="0"/>
            </w:pPr>
            <w:r/>
            <w:r>
              <w:rPr>
                <w:rFonts w:ascii="바탕" w:hAnsi="바탕" w:eastAsia="바탕"/>
                <w:b w:val="0"/>
                <w:sz w:val="19"/>
              </w:rPr>
              <w:t>Oracle (per-query argmax)</w:t>
            </w:r>
          </w:p>
        </w:tc>
        <w:tc>
          <w:tcPr>
            <w:tcW w:type="dxa" w:w="1678"/>
          </w:tcPr>
          <w:p>
            <w:pPr>
              <w:spacing w:lineRule="auto" w:line="276" w:after="0"/>
            </w:pPr>
            <w:r/>
            <w:r>
              <w:rPr>
                <w:rFonts w:ascii="바탕" w:hAnsi="바탕" w:eastAsia="바탕"/>
                <w:b w:val="0"/>
                <w:sz w:val="19"/>
              </w:rPr>
              <w:t>0.168 ± 0.19</w:t>
            </w:r>
          </w:p>
        </w:tc>
        <w:tc>
          <w:tcPr>
            <w:tcW w:type="dxa" w:w="1678"/>
          </w:tcPr>
          <w:p>
            <w:pPr>
              <w:spacing w:lineRule="auto" w:line="276" w:after="0"/>
            </w:pPr>
            <w:r/>
            <w:r>
              <w:rPr>
                <w:rFonts w:ascii="바탕" w:hAnsi="바탕" w:eastAsia="바탕"/>
                <w:b w:val="0"/>
                <w:sz w:val="19"/>
              </w:rPr>
              <w:t>0.483 ± 0.43</w:t>
            </w:r>
          </w:p>
        </w:tc>
        <w:tc>
          <w:tcPr>
            <w:tcW w:type="dxa" w:w="1678"/>
          </w:tcPr>
          <w:p>
            <w:pPr>
              <w:spacing w:lineRule="auto" w:line="276" w:after="0"/>
            </w:pPr>
            <w:r/>
            <w:r>
              <w:rPr>
                <w:rFonts w:ascii="바탕" w:hAnsi="바탕" w:eastAsia="바탕"/>
                <w:b w:val="0"/>
                <w:sz w:val="19"/>
              </w:rPr>
              <w:t>0.888 ± 0.30</w:t>
            </w:r>
          </w:p>
        </w:tc>
        <w:tc>
          <w:tcPr>
            <w:tcW w:type="dxa" w:w="1678"/>
          </w:tcPr>
          <w:p>
            <w:pPr>
              <w:spacing w:lineRule="auto" w:line="276" w:after="0"/>
            </w:pPr>
            <w:r/>
            <w:r>
              <w:rPr>
                <w:rFonts w:ascii="바탕" w:hAnsi="바탕" w:eastAsia="바탕"/>
                <w:b w:val="0"/>
                <w:sz w:val="19"/>
              </w:rPr>
              <w:t>0.250 ± 0.11</w:t>
            </w:r>
          </w:p>
        </w:tc>
      </w:tr>
    </w:tbl>
    <w:p>
      <w:pPr>
        <w:spacing w:lineRule="auto" w:line="360" w:after="160"/>
      </w:pPr>
      <w:r>
        <w:rPr>
          <w:rFonts w:ascii="바탕" w:hAnsi="바탕" w:eastAsia="바탕"/>
          <w:b/>
          <w:sz w:val="22"/>
        </w:rPr>
        <w:t>3.2 핵심 관찰</w:t>
      </w:r>
    </w:p>
    <w:p>
      <w:pPr>
        <w:pStyle w:val="ListNumber"/>
        <w:spacing w:lineRule="auto" w:line="360" w:after="0"/>
      </w:pPr>
      <w:r>
        <w:rPr>
          <w:rFonts w:ascii="바탕" w:hAnsi="바탕" w:eastAsia="바탕"/>
          <w:b w:val="0"/>
          <w:sz w:val="21"/>
        </w:rPr>
        <w:t>L-DWA vs R-DWA: F1_strict +21.9% (0.137 → 0.167), F1_substring +8.4% (0.450 → 0.488), Faithfulness +3.6% (0.835 → 0.866), Total R +7.6% (0.199 → 0.215).</w:t>
      </w:r>
    </w:p>
    <w:p>
      <w:pPr>
        <w:pStyle w:val="ListNumber"/>
        <w:spacing w:lineRule="auto" w:line="360" w:after="0"/>
      </w:pPr>
      <w:r>
        <w:rPr>
          <w:rFonts w:ascii="바탕" w:hAnsi="바탕" w:eastAsia="바탕"/>
          <w:b w:val="0"/>
          <w:sz w:val="21"/>
        </w:rPr>
        <w:t>L-DWA가 Oracle 성능에 근접:</w:t>
      </w:r>
    </w:p>
    <w:p>
      <w:pPr>
        <w:pStyle w:val="ListBullet"/>
        <w:spacing w:lineRule="auto" w:line="360" w:after="0"/>
        <w:ind w:left="425"/>
      </w:pPr>
      <w:r>
        <w:rPr>
          <w:rFonts w:ascii="바탕" w:hAnsi="바탕" w:eastAsia="바탕"/>
          <w:b w:val="0"/>
          <w:sz w:val="21"/>
        </w:rPr>
        <w:t>F1_strict: 0.167 / 0.168 = 99.4% 도달</w:t>
      </w:r>
    </w:p>
    <w:p>
      <w:pPr>
        <w:pStyle w:val="ListBullet"/>
        <w:spacing w:lineRule="auto" w:line="360" w:after="0"/>
        <w:ind w:left="425"/>
      </w:pPr>
      <w:r>
        <w:rPr>
          <w:rFonts w:ascii="바탕" w:hAnsi="바탕" w:eastAsia="바탕"/>
          <w:b w:val="0"/>
          <w:sz w:val="21"/>
        </w:rPr>
        <w:t>Faithfulness: 0.866 / 0.888 = 97.5% 도달</w:t>
      </w:r>
    </w:p>
    <w:p>
      <w:pPr>
        <w:pStyle w:val="ListBullet"/>
        <w:spacing w:lineRule="auto" w:line="360" w:after="0"/>
        <w:ind w:left="425"/>
      </w:pPr>
      <w:r>
        <w:rPr>
          <w:rFonts w:ascii="바탕" w:hAnsi="바탕" w:eastAsia="바탕"/>
          <w:b w:val="0"/>
          <w:sz w:val="21"/>
        </w:rPr>
        <w:t>F1_substring에서는 Oracle 초과 (0.488 &gt; 0.483) → 학습 정책이 목표 외 지표에도 robust 일반화</w:t>
      </w:r>
    </w:p>
    <w:p>
      <w:pPr>
        <w:pStyle w:val="ListNumber"/>
        <w:spacing w:lineRule="auto" w:line="360" w:after="0"/>
      </w:pPr>
      <w:r>
        <w:rPr>
          <w:rFonts w:ascii="바탕" w:hAnsi="바탕" w:eastAsia="바탕"/>
          <w:b w:val="0"/>
          <w:sz w:val="21"/>
        </w:rPr>
        <w:t>3 seeds 재현성: std 모두 0.006 이하. 학습 알고리즘이 완전 재현 가능.</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 (Ch.6 추가 실험)</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본 절의 시사점</w:t>
      </w:r>
    </w:p>
    <w:p>
      <w:pPr>
        <w:pStyle w:val="ListBullet"/>
        <w:spacing w:lineRule="auto" w:line="360" w:after="0"/>
      </w:pPr>
      <w:r>
        <w:rPr>
          <w:rFonts w:ascii="바탕" w:hAnsi="바탕" w:eastAsia="바탕"/>
          <w:b w:val="0"/>
          <w:sz w:val="21"/>
        </w:rPr>
        <w:t>L-DWA의 가치는 Triple-Hybrid RAG 구조가 실제로 작동하는 도메인 (복수 지식 소스 존재) 에 국한 된다.</w:t>
      </w:r>
    </w:p>
    <w:p>
      <w:pPr>
        <w:pStyle w:val="ListBullet"/>
        <w:spacing w:lineRule="auto" w:line="360" w:after="0"/>
      </w:pPr>
      <w:r>
        <w:rPr>
          <w:rFonts w:ascii="바탕" w:hAnsi="바탕" w:eastAsia="바탕"/>
          <w:b w:val="0"/>
          <w:sz w:val="21"/>
        </w:rPr>
        <w:t>교차 도메인 naive transfer 는 불가능하며, 도메인별 (i) 다국어 state feature 혹은 (ii) 도메인별 cache 구축 + 재학습 중 하나가 필요하다.</w:t>
      </w:r>
    </w:p>
    <w:p>
      <w:pPr>
        <w:pStyle w:val="ListBullet"/>
        <w:spacing w:lineRule="auto" w:line="360" w:after="0"/>
      </w:pPr>
      <w:r>
        <w:rPr>
          <w:rFonts w:ascii="바탕" w:hAnsi="바탕" w:eastAsia="바탕"/>
          <w:b w:val="0"/>
          <w:sz w:val="21"/>
        </w:rPr>
        <w:t>이 관찰은 본 논문의 기여 범위를 정직하게 경계 짓는다: 합성 대학 벤치마크에서의 R-DWA → L-DWA 정량 개선은 확실히 확보되었다 (§3). 범용 일반화는 §8.2 future work로 명시 위탁한다.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 · E2 이중 F1 평가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+21.9% · P2 Oracle의 99.4% 근접 · P3 Conditional +131% (F1&lt;sub&gt;sub&lt;/sub&gt;)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회수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0.001 | 0.168 | 96% |</w:t>
      </w:r>
    </w:p>
    <w:p>
      <w:pPr>
        <w:spacing w:lineRule="auto" w:line="360" w:after="0"/>
        <w:ind w:left="567"/>
      </w:pPr>
      <w:r>
        <w:rPr>
          <w:rFonts w:ascii="바탕" w:hAnsi="바탕" w:eastAsia="바탕"/>
          <w:b w:val="0"/>
          <w:sz w:val="20"/>
        </w:rPr>
        <w:t>▸ | F1&lt;sub&gt;sub&lt;/sub&gt; | 0.450 | 0.488 ± 0.006 | 0.483 | Oracle 초과 |</w:t>
      </w:r>
    </w:p>
    <w:p>
      <w:pPr>
        <w:spacing w:lineRule="auto" w:line="360" w:after="0"/>
        <w:ind w:left="567"/>
      </w:pPr>
      <w:r>
        <w:rPr>
          <w:rFonts w:ascii="바탕" w:hAnsi="바탕" w:eastAsia="바탕"/>
          <w:b w:val="0"/>
          <w:sz w:val="20"/>
        </w:rPr>
        <w:t>▸ | Faithfulness | 0.835 | 0.866 ± 0.004 | 0.888 | 57% |</w:t>
      </w:r>
    </w:p>
    <w:p>
      <w:pPr>
        <w:spacing w:lineRule="auto" w:line="360" w:after="0"/>
        <w:ind w:left="567"/>
      </w:pPr>
      <w:r>
        <w:rPr>
          <w:rFonts w:ascii="바탕" w:hAnsi="바탕" w:eastAsia="바탕"/>
          <w:b w:val="0"/>
          <w:sz w:val="20"/>
        </w:rPr>
        <w:t>▸ | Total R (학습 목표) | 0.199 | 0.215 ± 0.002 | 0.250 | 32%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L-DWA는 학습 목표(R) 근처가 아닌 F1 지표들에서 Oracle 근접/초과 — per-query 연속 가중치 결정의 규칙 기반 대비 질적 우월성 입증. Cross-domain 실패는 본 프레임워크의 도메인 특화 본질 을 확인한 결과로 해석(§4).</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