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4월</w:t>
      </w:r>
    </w:p>
    <w:p>
      <w:pPr>
        <w:spacing w:lineRule="auto" w:line="480" w:after="0"/>
      </w:pPr>
      <w:r>
        <w:rPr>
          <w:rFonts w:ascii="바탕" w:hAnsi="바탕" w:eastAsia="바탕"/>
          <w:b w:val="0"/>
          <w:sz w:val="21"/>
        </w:rPr>
        <w:t>학위: 박사</w:t>
      </w:r>
    </w:p>
    <w:p>
      <w:pPr>
        <w:spacing w:lineRule="auto" w:line="360" w:after="160"/>
        <w:jc w:val="center"/>
      </w:pPr>
      <w:r>
        <w:rPr>
          <w:rFonts w:ascii="바탕" w:hAnsi="바탕" w:eastAsia="바탕"/>
          <w:b/>
          <w:sz w:val="28"/>
        </w:rPr>
        <w:t>Ⅰ. 서론</w:t>
      </w:r>
    </w:p>
    <w:p>
      <w:pPr>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0.304 로 36.7% 향상되며, 이 영역에서는 Oracle 마저 넘어선다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w:t>
      </w:r>
    </w:p>
    <w:p>
      <w:pPr>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spacing w:lineRule="auto" w:line="360" w:after="160"/>
      </w:pPr>
      <w:r>
        <w:rPr>
          <w:rFonts w:ascii="바탕" w:hAnsi="바탕" w:eastAsia="바탕"/>
          <w:b/>
          <w:sz w:val="24"/>
        </w:rPr>
        <w:t>1. RAG의 진화와 하이브리드 접근</w:t>
      </w:r>
    </w:p>
    <w:p>
      <w:pPr>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spacing w:lineRule="auto" w:line="360" w:after="160"/>
      </w:pPr>
      <w:r>
        <w:rPr>
          <w:rFonts w:ascii="바탕" w:hAnsi="바탕" w:eastAsia="바탕"/>
          <w:b/>
          <w:sz w:val="24"/>
        </w:rPr>
        <w:t>2. 지식 그래프 및 온톨로지의 RAG 통합</w:t>
      </w:r>
    </w:p>
    <w:p>
      <w:pPr>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spacing w:lineRule="auto" w:line="360" w:after="160"/>
      </w:pPr>
      <w:r>
        <w:rPr>
          <w:rFonts w:ascii="바탕" w:hAnsi="바탕" w:eastAsia="바탕"/>
          <w:b/>
          <w:sz w:val="24"/>
        </w:rPr>
        <w:t>3. 검색·가중치 결정의 강화학습 기반 최적화</w:t>
      </w:r>
    </w:p>
    <w:p>
      <w:pPr>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spacing w:lineRule="auto" w:line="360" w:after="160"/>
      </w:pPr>
      <w:r>
        <w:rPr>
          <w:rFonts w:ascii="바탕" w:hAnsi="바탕" w:eastAsia="바탕"/>
          <w:b/>
          <w:sz w:val="24"/>
        </w:rPr>
        <w:t>4. 한국어 QA 평가 및 JKSCI 2025 기준선</w:t>
      </w:r>
    </w:p>
    <w:p>
      <w:pPr>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재평가에서 R-DWA F1_strict는 0.137, F1_substring은 0.448로 측정되며, 선행 수치의 Faithfulness 0.89는 본 논문 측정 0.835와 94% 일치 하여 LLM 생성 품질은 재현됨을 확인하였다. F1의 격차는 평가 구현 세부 (토큰화, 정규화 strict/loose) 차이에 기인하며 (Ch.6 §3.3 상세), 본 논문은 두 지표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0.137 | 0.167 (+21.9%)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Oracle 의 96% 이상에 도달함을 실증(§3.2).</w:t>
      </w:r>
    </w:p>
    <w:p>
      <w:pPr>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벤치마크에서 L-DWA는 R-DWA 대비 F1_strict +21.9%, Conditional F1_substring +131%를 달성하며, Oracle (per-query argmax) 상한 성능의 99% 이상에 도달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spacing w:lineRule="auto" w:line="360" w:after="160"/>
      </w:pPr>
      <w:r>
        <w:rPr>
          <w:rFonts w:ascii="바탕" w:hAnsi="바탕" w:eastAsia="바탕"/>
          <w:b/>
          <w:sz w:val="24"/>
        </w:rPr>
        <w:t>2. 세 지식 소스</w:t>
      </w:r>
    </w:p>
    <w:p>
      <w:pPr>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spacing w:lineRule="auto" w:line="360" w:after="160"/>
      </w:pPr>
      <w:r>
        <w:rPr>
          <w:rFonts w:ascii="바탕" w:hAnsi="바탕" w:eastAsia="바탕"/>
          <w:b/>
          <w:sz w:val="24"/>
        </w:rPr>
        <w:t>5. R-DWA의 본 논문 재측정 결과</w:t>
      </w:r>
    </w:p>
    <w:p>
      <w:pPr>
        <w:spacing w:lineRule="auto" w:line="360" w:after="160"/>
      </w:pPr>
      <w:r>
        <w:rPr>
          <w:rFonts w:ascii="바탕" w:hAnsi="바탕" w:eastAsia="바탕"/>
          <w:b/>
          <w:sz w:val="22"/>
        </w:rPr>
        <w:t>가. 전체 (5,000 QA, 버그 수정 평가기)</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F1_strict</w:t>
            </w:r>
          </w:p>
        </w:tc>
        <w:tc>
          <w:tcPr>
            <w:tcW w:type="dxa" w:w="4195"/>
          </w:tcPr>
          <w:p>
            <w:pPr>
              <w:spacing w:lineRule="auto" w:line="276" w:after="0"/>
            </w:pPr>
            <w:r/>
            <w:r>
              <w:rPr>
                <w:rFonts w:ascii="바탕" w:hAnsi="바탕" w:eastAsia="바탕"/>
                <w:b w:val="0"/>
                <w:sz w:val="19"/>
              </w:rPr>
              <w:t>0.137 ± 0.185</w:t>
            </w:r>
          </w:p>
        </w:tc>
      </w:tr>
      <w:tr>
        <w:tc>
          <w:tcPr>
            <w:tcW w:type="dxa" w:w="4195"/>
          </w:tcPr>
          <w:p>
            <w:pPr>
              <w:spacing w:lineRule="auto" w:line="276" w:after="0"/>
            </w:pPr>
            <w:r/>
            <w:r>
              <w:rPr>
                <w:rFonts w:ascii="바탕" w:hAnsi="바탕" w:eastAsia="바탕"/>
                <w:b w:val="0"/>
                <w:sz w:val="19"/>
              </w:rPr>
              <w:t>F1_substring</w:t>
            </w:r>
          </w:p>
        </w:tc>
        <w:tc>
          <w:tcPr>
            <w:tcW w:type="dxa" w:w="4195"/>
          </w:tcPr>
          <w:p>
            <w:pPr>
              <w:spacing w:lineRule="auto" w:line="276" w:after="0"/>
            </w:pPr>
            <w:r/>
            <w:r>
              <w:rPr>
                <w:rFonts w:ascii="바탕" w:hAnsi="바탕" w:eastAsia="바탕"/>
                <w:b w:val="0"/>
                <w:sz w:val="19"/>
              </w:rPr>
              <w:t>0.450 ± 0.445</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0.000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0.835 ± 0.354</w:t>
            </w:r>
          </w:p>
        </w:tc>
      </w:tr>
      <w:tr>
        <w:tc>
          <w:tcPr>
            <w:tcW w:type="dxa" w:w="4195"/>
          </w:tcPr>
          <w:p>
            <w:pPr>
              <w:spacing w:lineRule="auto" w:line="276" w:after="0"/>
            </w:pPr>
            <w:r/>
            <w:r>
              <w:rPr>
                <w:rFonts w:ascii="바탕" w:hAnsi="바탕" w:eastAsia="바탕"/>
                <w:b w:val="0"/>
                <w:sz w:val="19"/>
              </w:rPr>
              <w:t>Total R</w:t>
            </w:r>
          </w:p>
        </w:tc>
        <w:tc>
          <w:tcPr>
            <w:tcW w:type="dxa" w:w="4195"/>
          </w:tcPr>
          <w:p>
            <w:pPr>
              <w:spacing w:lineRule="auto" w:line="276" w:after="0"/>
            </w:pPr>
            <w:r/>
            <w:r>
              <w:rPr>
                <w:rFonts w:ascii="바탕" w:hAnsi="바탕" w:eastAsia="바탕"/>
                <w:b w:val="0"/>
                <w:sz w:val="19"/>
              </w:rPr>
              <w:t>0.199 ± 0.120</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1.19s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Oracle이 Ontology 지향적인 것과 대조된다.</w:t>
      </w:r>
    </w:p>
    <w:p>
      <w:pPr>
        <w:spacing w:lineRule="auto" w:line="360" w:after="160"/>
      </w:pPr>
      <w:r>
        <w:rPr>
          <w:rFonts w:ascii="바탕" w:hAnsi="바탕" w:eastAsia="바탕"/>
          <w:b/>
          <w:sz w:val="22"/>
        </w:rPr>
        <w:t>나. 질의 유형별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Type</w:t>
            </w:r>
          </w:p>
        </w:tc>
        <w:tc>
          <w:tcPr>
            <w:tcW w:type="dxa" w:w="1678"/>
          </w:tcPr>
          <w:p>
            <w:pPr>
              <w:spacing w:lineRule="auto" w:line="276" w:after="0"/>
            </w:pPr>
            <w:r/>
            <w:r>
              <w:rPr>
                <w:rFonts w:ascii="바탕" w:hAnsi="바탕" w:eastAsia="바탕"/>
                <w:b/>
                <w:sz w:val="19"/>
              </w:rPr>
              <w:t>n</w:t>
            </w:r>
          </w:p>
        </w:tc>
        <w:tc>
          <w:tcPr>
            <w:tcW w:type="dxa" w:w="1678"/>
          </w:tcPr>
          <w:p>
            <w:pPr>
              <w:spacing w:lineRule="auto" w:line="276" w:after="0"/>
            </w:pPr>
            <w:r/>
            <w:r>
              <w:rPr>
                <w:rFonts w:ascii="바탕" w:hAnsi="바탕" w:eastAsia="바탕"/>
                <w:b/>
                <w:sz w:val="19"/>
              </w:rPr>
              <w:t>F1_strict</w:t>
            </w:r>
          </w:p>
        </w:tc>
        <w:tc>
          <w:tcPr>
            <w:tcW w:type="dxa" w:w="1678"/>
          </w:tcPr>
          <w:p>
            <w:pPr>
              <w:spacing w:lineRule="auto" w:line="276" w:after="0"/>
            </w:pPr>
            <w:r/>
            <w:r>
              <w:rPr>
                <w:rFonts w:ascii="바탕" w:hAnsi="바탕" w:eastAsia="바탕"/>
                <w:b/>
                <w:sz w:val="19"/>
              </w:rPr>
              <w:t>F1_substring</w:t>
            </w:r>
          </w:p>
        </w:tc>
        <w:tc>
          <w:tcPr>
            <w:tcW w:type="dxa" w:w="1678"/>
          </w:tcPr>
          <w:p>
            <w:pPr>
              <w:spacing w:lineRule="auto" w:line="276" w:after="0"/>
            </w:pPr>
            <w:r/>
            <w:r>
              <w:rPr>
                <w:rFonts w:ascii="바탕" w:hAnsi="바탕" w:eastAsia="바탕"/>
                <w:b/>
                <w:sz w:val="19"/>
              </w:rPr>
              <w:t>Faith</w:t>
            </w:r>
          </w:p>
        </w:tc>
      </w:tr>
      <w:tr>
        <w:tc>
          <w:tcPr>
            <w:tcW w:type="dxa" w:w="1678"/>
          </w:tcPr>
          <w:p>
            <w:pPr>
              <w:spacing w:lineRule="auto" w:line="276" w:after="0"/>
            </w:pPr>
            <w:r/>
            <w:r>
              <w:rPr>
                <w:rFonts w:ascii="바탕" w:hAnsi="바탕" w:eastAsia="바탕"/>
                <w:b w:val="0"/>
                <w:sz w:val="19"/>
              </w:rPr>
              <w:t>simple</w:t>
            </w:r>
          </w:p>
        </w:tc>
        <w:tc>
          <w:tcPr>
            <w:tcW w:type="dxa" w:w="1678"/>
          </w:tcPr>
          <w:p>
            <w:pPr>
              <w:spacing w:lineRule="auto" w:line="276" w:after="0"/>
            </w:pPr>
            <w:r/>
            <w:r>
              <w:rPr>
                <w:rFonts w:ascii="바탕" w:hAnsi="바탕" w:eastAsia="바탕"/>
                <w:b w:val="0"/>
                <w:sz w:val="19"/>
              </w:rPr>
              <w:t>2,000</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0.837</w:t>
            </w:r>
          </w:p>
        </w:tc>
        <w:tc>
          <w:tcPr>
            <w:tcW w:type="dxa" w:w="1678"/>
          </w:tcPr>
          <w:p>
            <w:pPr>
              <w:spacing w:lineRule="auto" w:line="276" w:after="0"/>
            </w:pPr>
            <w:r/>
            <w:r>
              <w:rPr>
                <w:rFonts w:ascii="바탕" w:hAnsi="바탕" w:eastAsia="바탕"/>
                <w:b w:val="0"/>
                <w:sz w:val="19"/>
              </w:rPr>
              <w:t>0.928</w:t>
            </w:r>
          </w:p>
        </w:tc>
      </w:tr>
      <w:tr>
        <w:tc>
          <w:tcPr>
            <w:tcW w:type="dxa" w:w="1678"/>
          </w:tcPr>
          <w:p>
            <w:pPr>
              <w:spacing w:lineRule="auto" w:line="276" w:after="0"/>
            </w:pPr>
            <w:r/>
            <w:r>
              <w:rPr>
                <w:rFonts w:ascii="바탕" w:hAnsi="바탕" w:eastAsia="바탕"/>
                <w:b w:val="0"/>
                <w:sz w:val="19"/>
              </w:rPr>
              <w:t>multi_hop</w:t>
            </w:r>
          </w:p>
        </w:tc>
        <w:tc>
          <w:tcPr>
            <w:tcW w:type="dxa" w:w="1678"/>
          </w:tcPr>
          <w:p>
            <w:pPr>
              <w:spacing w:lineRule="auto" w:line="276" w:after="0"/>
            </w:pPr>
            <w:r/>
            <w:r>
              <w:rPr>
                <w:rFonts w:ascii="바탕" w:hAnsi="바탕" w:eastAsia="바탕"/>
                <w:b w:val="0"/>
                <w:sz w:val="19"/>
              </w:rPr>
              <w:t>1,750</w:t>
            </w:r>
          </w:p>
        </w:tc>
        <w:tc>
          <w:tcPr>
            <w:tcW w:type="dxa" w:w="1678"/>
          </w:tcPr>
          <w:p>
            <w:pPr>
              <w:spacing w:lineRule="auto" w:line="276" w:after="0"/>
            </w:pPr>
            <w:r/>
            <w:r>
              <w:rPr>
                <w:rFonts w:ascii="바탕" w:hAnsi="바탕" w:eastAsia="바탕"/>
                <w:b w:val="0"/>
                <w:sz w:val="19"/>
              </w:rPr>
              <w:t>0.017</w:t>
            </w:r>
          </w:p>
        </w:tc>
        <w:tc>
          <w:tcPr>
            <w:tcW w:type="dxa" w:w="1678"/>
          </w:tcPr>
          <w:p>
            <w:pPr>
              <w:spacing w:lineRule="auto" w:line="276" w:after="0"/>
            </w:pPr>
            <w:r/>
            <w:r>
              <w:rPr>
                <w:rFonts w:ascii="바탕" w:hAnsi="바탕" w:eastAsia="바탕"/>
                <w:b w:val="0"/>
                <w:sz w:val="19"/>
              </w:rPr>
              <w:t>0.261</w:t>
            </w:r>
          </w:p>
        </w:tc>
        <w:tc>
          <w:tcPr>
            <w:tcW w:type="dxa" w:w="1678"/>
          </w:tcPr>
          <w:p>
            <w:pPr>
              <w:spacing w:lineRule="auto" w:line="276" w:after="0"/>
            </w:pPr>
            <w:r/>
            <w:r>
              <w:rPr>
                <w:rFonts w:ascii="바탕" w:hAnsi="바탕" w:eastAsia="바탕"/>
                <w:b w:val="0"/>
                <w:sz w:val="19"/>
              </w:rPr>
              <w:t>0.728</w:t>
            </w:r>
          </w:p>
        </w:tc>
      </w:tr>
      <w:tr>
        <w:tc>
          <w:tcPr>
            <w:tcW w:type="dxa" w:w="1678"/>
          </w:tcPr>
          <w:p>
            <w:pPr>
              <w:spacing w:lineRule="auto" w:line="276" w:after="0"/>
            </w:pPr>
            <w:r/>
            <w:r>
              <w:rPr>
                <w:rFonts w:ascii="바탕" w:hAnsi="바탕" w:eastAsia="바탕"/>
                <w:b w:val="0"/>
                <w:sz w:val="19"/>
              </w:rPr>
              <w:t>conditional</w:t>
            </w:r>
          </w:p>
        </w:tc>
        <w:tc>
          <w:tcPr>
            <w:tcW w:type="dxa" w:w="1678"/>
          </w:tcPr>
          <w:p>
            <w:pPr>
              <w:spacing w:lineRule="auto" w:line="276" w:after="0"/>
            </w:pPr>
            <w:r/>
            <w:r>
              <w:rPr>
                <w:rFonts w:ascii="바탕" w:hAnsi="바탕" w:eastAsia="바탕"/>
                <w:b w:val="0"/>
                <w:sz w:val="19"/>
              </w:rPr>
              <w:t>1,250</w:t>
            </w:r>
          </w:p>
        </w:tc>
        <w:tc>
          <w:tcPr>
            <w:tcW w:type="dxa" w:w="1678"/>
          </w:tcPr>
          <w:p>
            <w:pPr>
              <w:spacing w:lineRule="auto" w:line="276" w:after="0"/>
            </w:pPr>
            <w:r/>
            <w:r>
              <w:rPr>
                <w:rFonts w:ascii="바탕" w:hAnsi="바탕" w:eastAsia="바탕"/>
                <w:b w:val="0"/>
                <w:sz w:val="19"/>
              </w:rPr>
              <w:t>0.019</w:t>
            </w:r>
          </w:p>
        </w:tc>
        <w:tc>
          <w:tcPr>
            <w:tcW w:type="dxa" w:w="1678"/>
          </w:tcPr>
          <w:p>
            <w:pPr>
              <w:spacing w:lineRule="auto" w:line="276" w:after="0"/>
            </w:pPr>
            <w:r/>
            <w:r>
              <w:rPr>
                <w:rFonts w:ascii="바탕" w:hAnsi="바탕" w:eastAsia="바탕"/>
                <w:b w:val="0"/>
                <w:sz w:val="19"/>
              </w:rPr>
              <w:t>0.090</w:t>
            </w:r>
          </w:p>
        </w:tc>
        <w:tc>
          <w:tcPr>
            <w:tcW w:type="dxa" w:w="1678"/>
          </w:tcPr>
          <w:p>
            <w:pPr>
              <w:spacing w:lineRule="auto" w:line="276" w:after="0"/>
            </w:pPr>
            <w:r/>
            <w:r>
              <w:rPr>
                <w:rFonts w:ascii="바탕" w:hAnsi="바탕" w:eastAsia="바탕"/>
                <w:b w:val="0"/>
                <w:sz w:val="19"/>
              </w:rPr>
              <w:t>0.806</w:t>
            </w:r>
          </w:p>
        </w:tc>
      </w:tr>
    </w:tbl>
    <w:p>
      <w:pPr>
        <w:spacing w:lineRule="auto" w:line="480" w:after="0"/>
      </w:pPr>
      <w:r>
        <w:rPr>
          <w:rFonts w:ascii="바탕" w:hAnsi="바탕" w:eastAsia="바탕"/>
          <w:b w:val="0"/>
          <w:sz w:val="21"/>
        </w:rPr>
        <w:t>Conditional과 multi_hop에서 F1이 극도로 낮다. 이는 (i) 이 유형의 gold 답이 구조적으로 복수 항목 리스트여서 LLM 자연어 출력과의 토큰 매칭이 어렵고, (ii) R-DWA의 고정 가중치가 세부 특성에 둔감하기 때문이다. Ch.5 L-DWA가 이 한계를 어떻게 극복하는지가 본 논문의 핵심 실증이다.</w:t>
      </w:r>
    </w:p>
    <w:p>
      <w:pPr>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JKSCI 보고</w:t>
            </w:r>
          </w:p>
        </w:tc>
        <w:tc>
          <w:tcPr>
            <w:tcW w:type="dxa" w:w="2097"/>
          </w:tcPr>
          <w:p>
            <w:pPr>
              <w:spacing w:lineRule="auto" w:line="276" w:after="0"/>
            </w:pPr>
            <w:r/>
            <w:r>
              <w:rPr>
                <w:rFonts w:ascii="바탕" w:hAnsi="바탕" w:eastAsia="바탕"/>
                <w:b/>
                <w:sz w:val="19"/>
              </w:rPr>
              <w:t>본 논문 측정</w:t>
            </w:r>
          </w:p>
        </w:tc>
        <w:tc>
          <w:tcPr>
            <w:tcW w:type="dxa" w:w="2097"/>
          </w:tcPr>
          <w:p>
            <w:pPr>
              <w:spacing w:lineRule="auto" w:line="276" w:after="0"/>
            </w:pPr>
            <w:r/>
            <w:r>
              <w:rPr>
                <w:rFonts w:ascii="바탕" w:hAnsi="바탕" w:eastAsia="바탕"/>
                <w:b/>
                <w:sz w:val="19"/>
              </w:rPr>
              <w:t>재현율</w:t>
            </w:r>
          </w:p>
        </w:tc>
      </w:tr>
      <w:tr>
        <w:tc>
          <w:tcPr>
            <w:tcW w:type="dxa" w:w="2097"/>
          </w:tcPr>
          <w:p>
            <w:pPr>
              <w:spacing w:lineRule="auto" w:line="276" w:after="0"/>
            </w:pPr>
            <w:r/>
            <w:r>
              <w:rPr>
                <w:rFonts w:ascii="바탕" w:hAnsi="바탕" w:eastAsia="바탕"/>
                <w:b w:val="0"/>
                <w:sz w:val="19"/>
              </w:rPr>
              <w:t>F1</w:t>
            </w:r>
          </w:p>
        </w:tc>
        <w:tc>
          <w:tcPr>
            <w:tcW w:type="dxa" w:w="2097"/>
          </w:tcPr>
          <w:p>
            <w:pPr>
              <w:spacing w:lineRule="auto" w:line="276" w:after="0"/>
            </w:pPr>
            <w:r/>
            <w:r>
              <w:rPr>
                <w:rFonts w:ascii="바탕" w:hAnsi="바탕" w:eastAsia="바탕"/>
                <w:b w:val="0"/>
                <w:sz w:val="19"/>
              </w:rPr>
              <w:t>0.86</w:t>
            </w:r>
          </w:p>
        </w:tc>
        <w:tc>
          <w:tcPr>
            <w:tcW w:type="dxa" w:w="2097"/>
          </w:tcPr>
          <w:p>
            <w:pPr>
              <w:spacing w:lineRule="auto" w:line="276" w:after="0"/>
            </w:pPr>
            <w:r/>
            <w:r>
              <w:rPr>
                <w:rFonts w:ascii="바탕" w:hAnsi="바탕" w:eastAsia="바탕"/>
                <w:b w:val="0"/>
                <w:sz w:val="19"/>
              </w:rPr>
              <w:t>0.137 (strict) / 0.450 (substring)</w:t>
            </w:r>
          </w:p>
        </w:tc>
        <w:tc>
          <w:tcPr>
            <w:tcW w:type="dxa" w:w="2097"/>
          </w:tcPr>
          <w:p>
            <w:pPr>
              <w:spacing w:lineRule="auto" w:line="276" w:after="0"/>
            </w:pPr>
            <w:r/>
            <w:r>
              <w:rPr>
                <w:rFonts w:ascii="바탕" w:hAnsi="바탕" w:eastAsia="바탕"/>
                <w:b w:val="0"/>
                <w:sz w:val="19"/>
              </w:rPr>
              <w:t>16% (strict) / 52% (substring)</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0.78</w:t>
            </w:r>
          </w:p>
        </w:tc>
        <w:tc>
          <w:tcPr>
            <w:tcW w:type="dxa" w:w="2097"/>
          </w:tcPr>
          <w:p>
            <w:pPr>
              <w:spacing w:lineRule="auto" w:line="276" w:after="0"/>
            </w:pPr>
            <w:r/>
            <w:r>
              <w:rPr>
                <w:rFonts w:ascii="바탕" w:hAnsi="바탕" w:eastAsia="바탕"/>
                <w:b w:val="0"/>
                <w:sz w:val="19"/>
              </w:rPr>
              <w:t>0.000</w:t>
            </w:r>
          </w:p>
        </w:tc>
        <w:tc>
          <w:tcPr>
            <w:tcW w:type="dxa" w:w="2097"/>
          </w:tcPr>
          <w:p>
            <w:pPr>
              <w:spacing w:lineRule="auto" w:line="276" w:after="0"/>
            </w:pPr>
            <w:r/>
            <w:r>
              <w:rPr>
                <w:rFonts w:ascii="바탕" w:hAnsi="바탕" w:eastAsia="바탕"/>
                <w:b w:val="0"/>
                <w:sz w:val="19"/>
              </w:rPr>
              <w:t>0% (구조적)</w:t>
            </w:r>
          </w:p>
        </w:tc>
      </w:tr>
      <w:tr>
        <w:tc>
          <w:tcPr>
            <w:tcW w:type="dxa" w:w="2097"/>
          </w:tcPr>
          <w:p>
            <w:pPr>
              <w:spacing w:lineRule="auto" w:line="276" w:after="0"/>
            </w:pPr>
            <w:r/>
            <w:r>
              <w:rPr>
                <w:rFonts w:ascii="바탕" w:hAnsi="바탕" w:eastAsia="바탕"/>
                <w:b w:val="0"/>
                <w:sz w:val="19"/>
              </w:rPr>
              <w:t>Faith</w:t>
            </w:r>
          </w:p>
        </w:tc>
        <w:tc>
          <w:tcPr>
            <w:tcW w:type="dxa" w:w="2097"/>
          </w:tcPr>
          <w:p>
            <w:pPr>
              <w:spacing w:lineRule="auto" w:line="276" w:after="0"/>
            </w:pPr>
            <w:r/>
            <w:r>
              <w:rPr>
                <w:rFonts w:ascii="바탕" w:hAnsi="바탕" w:eastAsia="바탕"/>
                <w:b w:val="0"/>
                <w:sz w:val="19"/>
              </w:rPr>
              <w:t>0.89</w:t>
            </w:r>
          </w:p>
        </w:tc>
        <w:tc>
          <w:tcPr>
            <w:tcW w:type="dxa" w:w="2097"/>
          </w:tcPr>
          <w:p>
            <w:pPr>
              <w:spacing w:lineRule="auto" w:line="276" w:after="0"/>
            </w:pPr>
            <w:r/>
            <w:r>
              <w:rPr>
                <w:rFonts w:ascii="바탕" w:hAnsi="바탕" w:eastAsia="바탕"/>
                <w:b w:val="0"/>
                <w:sz w:val="19"/>
              </w:rPr>
              <w:t>0.835</w:t>
            </w:r>
          </w:p>
        </w:tc>
        <w:tc>
          <w:tcPr>
            <w:tcW w:type="dxa" w:w="2097"/>
          </w:tcPr>
          <w:p>
            <w:pPr>
              <w:spacing w:lineRule="auto" w:line="276" w:after="0"/>
            </w:pPr>
            <w:r/>
            <w:r>
              <w:rPr>
                <w:rFonts w:ascii="바탕" w:hAnsi="바탕" w:eastAsia="바탕"/>
                <w:b w:val="0"/>
                <w:sz w:val="19"/>
              </w:rPr>
              <w:t>94%</w:t>
            </w:r>
          </w:p>
        </w:tc>
      </w:tr>
    </w:tbl>
    <w:p>
      <w:pPr>
        <w:spacing w:lineRule="auto" w:line="480" w:after="0"/>
      </w:pPr>
      <w:r>
        <w:rPr>
          <w:rFonts w:ascii="바탕" w:hAnsi="바탕" w:eastAsia="바탕"/>
          <w:b w:val="0"/>
          <w:sz w:val="21"/>
        </w:rPr>
        <w:t>Faithfulness의 94% 재현은 LLM 생성 품질이 일관됨을 의미한다. F1의 격차는 선행 논문 평가기의 엄격성 기준 미공개에 기인한다고 판단한다 (Ch.6 §3.3). F1_substring 0.450은 선행 F1 0.86의 52% 수준이며, 이는 우리의 substring 정의가 여전히 선행 평가 대비 더 엄격함을 시사한다 (예: 선행은 부분 문자 일치 등 더 관대한 측도일 가능성). 본 논문은 두 지표를 병기하여 선행 논문과의 연속성과 엄격 재평가를 동시에 제공한다.</w:t>
      </w:r>
    </w:p>
    <w:p>
      <w:pPr>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spacing w:lineRule="auto" w:line="360" w:after="160"/>
      </w:pPr>
      <w:r>
        <w:rPr>
          <w:rFonts w:ascii="바탕" w:hAnsi="바탕" w:eastAsia="바탕"/>
          <w:b/>
          <w:sz w:val="24"/>
        </w:rPr>
        <w:t>2. Actor-Critic 네트워크</w:t>
      </w:r>
    </w:p>
    <w:p>
      <w:pPr>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spacing w:lineRule="auto" w:line="360" w:after="160"/>
      </w:pPr>
      <w:r>
        <w:rPr>
          <w:rFonts w:ascii="바탕" w:hAnsi="바탕" w:eastAsia="바탕"/>
          <w:b/>
          <w:sz w:val="24"/>
        </w:rPr>
        <w:t>3. PPO 학습 알고리즘</w:t>
      </w:r>
    </w:p>
    <w:p>
      <w:pPr>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spacing w:lineRule="auto" w:line="360" w:after="160"/>
      </w:pPr>
      <w:r>
        <w:rPr>
          <w:rFonts w:ascii="바탕" w:hAnsi="바탕" w:eastAsia="바탕"/>
          <w:b/>
          <w:sz w:val="24"/>
        </w:rPr>
        <w:t>4. 오프라인 보상 캐시</w:t>
      </w:r>
    </w:p>
    <w:p>
      <w:pPr>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spacing w:lineRule="auto" w:line="360" w:after="160"/>
      </w:pPr>
      <w:r>
        <w:rPr>
          <w:rFonts w:ascii="바탕" w:hAnsi="바탕" w:eastAsia="바탕"/>
          <w:b/>
          <w:sz w:val="24"/>
        </w:rPr>
        <w:t>5. 학습 시스템 통합</w:t>
      </w:r>
    </w:p>
    <w:p>
      <w:pPr>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spacing w:lineRule="auto" w:line="360" w:after="160"/>
      </w:pPr>
      <w:r>
        <w:rPr>
          <w:rFonts w:ascii="바탕" w:hAnsi="바탕" w:eastAsia="바탕"/>
          <w:b/>
          <w:sz w:val="24"/>
        </w:rPr>
        <w:t>1. 실험 환경 및 평가 지표</w:t>
      </w:r>
    </w:p>
    <w:p>
      <w:pPr>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spacing w:lineRule="auto" w:line="360" w:after="160"/>
      </w:pPr>
      <w:r>
        <w:rPr>
          <w:rFonts w:ascii="바탕" w:hAnsi="바탕" w:eastAsia="바탕"/>
          <w:b/>
          <w:sz w:val="24"/>
        </w:rPr>
        <w:t>2. 오프라인 보상 캐시</w:t>
      </w:r>
    </w:p>
    <w:p>
      <w:pPr>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R-DWA 0.223 vs L-DWA 0.304 (+36.7%), Oracle 0.290 초과.</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접근하는 정도 (Oracle gap recovery) 가 학습 유효성의 증거.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 Oracle | Gap recovery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0.137 | 0.167 | 0.168 | 96% |</w:t>
      </w:r>
    </w:p>
    <w:p>
      <w:pPr>
        <w:spacing w:lineRule="auto" w:line="360" w:after="0"/>
        <w:ind w:left="567"/>
      </w:pPr>
      <w:r>
        <w:rPr>
          <w:rFonts w:ascii="바탕" w:hAnsi="바탕" w:eastAsia="바탕"/>
          <w:b w:val="0"/>
          <w:sz w:val="20"/>
        </w:rPr>
        <w:t>▸ | Faithfulness | 0.835 | 0.866 | 0.888 | 57%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L-DWA가 Oracle의 96% 도달 → "이 상태공간에서 더 나은 정책을 학습할 여지가 거의 없다". 남은 4% 는 상태 표현 한계 (박스 5-1 State 18-dim) 혹은 RL-specific noise 에 기인.</w:t>
      </w:r>
    </w:p>
    <w:p>
      <w:pPr>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spacing w:lineRule="auto" w:line="360" w:after="160"/>
      </w:pPr>
      <w:r>
        <w:rPr>
          <w:rFonts w:ascii="바탕" w:hAnsi="바탕" w:eastAsia="바탕"/>
          <w:b/>
          <w:sz w:val="24"/>
        </w:rPr>
        <w:t>4. 질의 유형별 세분 분석</w:t>
      </w:r>
    </w:p>
    <w:p>
      <w:pPr>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spacing w:lineRule="auto" w:line="360" w:after="160"/>
      </w:pPr>
      <w:r>
        <w:rPr>
          <w:rFonts w:ascii="바탕" w:hAnsi="바탕" w:eastAsia="바탕"/>
          <w:b/>
          <w:sz w:val="24"/>
        </w:rPr>
        <w:t>5. PPO 학습 동역학</w:t>
      </w:r>
    </w:p>
    <w:p>
      <w:pPr>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spacing w:lineRule="auto" w:line="360" w:after="160"/>
      </w:pPr>
      <w:r>
        <w:rPr>
          <w:rFonts w:ascii="바탕" w:hAnsi="바탕" w:eastAsia="바탕"/>
          <w:b/>
          <w:sz w:val="24"/>
        </w:rPr>
        <w:t>7. 교차 도메인 실험</w:t>
      </w:r>
    </w:p>
    <w:p>
      <w:pPr>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spacing w:lineRule="auto" w:line="360" w:after="160"/>
      </w:pPr>
      <w:r>
        <w:rPr>
          <w:rFonts w:ascii="바탕" w:hAnsi="바탕" w:eastAsia="바탕"/>
          <w:b/>
          <w:sz w:val="22"/>
        </w:rPr>
        <w:t>나. [표 6-8] 교차 도메인 결과</w:t>
      </w:r>
    </w:p>
    <w:p>
      <w:pPr>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spacing w:lineRule="auto" w:line="360" w:after="160"/>
      </w:pPr>
      <w:r>
        <w:rPr>
          <w:rFonts w:ascii="바탕" w:hAnsi="바탕" w:eastAsia="바탕"/>
          <w:b/>
          <w:sz w:val="24"/>
        </w:rPr>
        <w:t>8. 한계 및 향후 연구</w:t>
      </w:r>
    </w:p>
    <w:p>
      <w:pPr>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L-DWA 가 R-DWA 대비 F1_strict +21.9%, F1_substring +8.4%, Faithfulness +3.6% 의 정량 개선을 달성.</w:t>
      </w:r>
    </w:p>
    <w:p>
      <w:pPr>
        <w:pStyle w:val="ListBullet"/>
        <w:spacing w:lineRule="auto" w:line="360" w:after="0"/>
      </w:pPr>
      <w:r>
        <w:rPr>
          <w:rFonts w:ascii="바탕" w:hAnsi="바탕" w:eastAsia="바탕"/>
          <w:b w:val="0"/>
          <w:sz w:val="21"/>
        </w:rPr>
        <w:t>L-DWA 가 per-query argmax Oracle 의 99.4% 성능 에 도달하며, F1_substring 에서는 Oracle 초과.</w:t>
      </w:r>
    </w:p>
    <w:p>
      <w:pPr>
        <w:pStyle w:val="ListBullet"/>
        <w:spacing w:lineRule="auto" w:line="360" w:after="0"/>
      </w:pPr>
      <w:r>
        <w:rPr>
          <w:rFonts w:ascii="바탕" w:hAnsi="바탕" w:eastAsia="바탕"/>
          <w:b w:val="0"/>
          <w:sz w:val="21"/>
        </w:rPr>
        <w:t>Conditional 질의에서 F1_substring +131% — 본 논문의 가장 강력한 per-type 증거.</w:t>
      </w:r>
    </w:p>
    <w:p>
      <w:pPr>
        <w:pStyle w:val="ListBullet"/>
        <w:spacing w:lineRule="auto" w:line="360" w:after="0"/>
      </w:pPr>
      <w:r>
        <w:rPr>
          <w:rFonts w:ascii="바탕" w:hAnsi="바탕" w:eastAsia="바탕"/>
          <w:b w:val="0"/>
          <w:sz w:val="21"/>
        </w:rPr>
        <w:t>3-seed 표준편차 0.006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spacing w:lineRule="auto" w:line="360" w:after="160"/>
        <w:jc w:val="center"/>
      </w:pPr>
      <w:r>
        <w:rPr>
          <w:rFonts w:ascii="바탕" w:hAnsi="바탕" w:eastAsia="바탕"/>
          <w:b/>
          <w:sz w:val="28"/>
        </w:rPr>
        <w:t>Ⅶ. 결론</w:t>
      </w:r>
    </w:p>
    <w:p>
      <w:pPr>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L-DWA 는 R-DWA 대비 F1&lt;sub&gt;strict&lt;/sub&gt; +6.2%, F1&lt;sub&gt;substring&lt;/sub&gt; +5.2%, Faithfulness +6.6% 의 일관된 개선을 기록하며, 특히 Oracle (per-query argmax, 66-점 이산 격자 상한) 을 모든 F1 지표에서 초과 하였다 (0.562 &gt; 0.554). 이는 학습된 Dirichlet 평균이 이산 argmax 상한을 넘어서는 연속 공간 탐색력 을 실증한다.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w:t>
      </w:r>
    </w:p>
    <w:p>
      <w:pPr>
        <w:spacing w:lineRule="auto" w:line="360" w:after="160"/>
      </w:pPr>
      <w:r>
        <w:rPr>
          <w:rFonts w:ascii="바탕" w:hAnsi="바탕" w:eastAsia="바탕"/>
          <w:b/>
          <w:sz w:val="24"/>
        </w:rPr>
        <w:t>2. 본 논문의 기여</w:t>
      </w:r>
    </w:p>
    <w:p>
      <w:pPr>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spacing w:lineRule="auto" w:line="360" w:after="160"/>
      </w:pPr>
      <w:r>
        <w:rPr>
          <w:rFonts w:ascii="바탕" w:hAnsi="바탕" w:eastAsia="바탕"/>
          <w:b/>
          <w:sz w:val="24"/>
        </w:rPr>
        <w:t>4. 한계 및 향후 연구 방향</w:t>
      </w:r>
    </w:p>
    <w:p>
      <w:pPr>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spacing w:lineRule="auto" w:line="360" w:after="160"/>
      </w:pPr>
      <w:r>
        <w:rPr>
          <w:rFonts w:ascii="바탕" w:hAnsi="바탕" w:eastAsia="바탕"/>
          <w:b/>
          <w:sz w:val="24"/>
        </w:rPr>
        <w:t>부록 A. 하이퍼파라미터 전체 표</w:t>
      </w:r>
    </w:p>
    <w:p>
      <w:pPr>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spacing w:lineRule="auto" w:line="360" w:after="160"/>
      </w:pPr>
      <w:r>
        <w:rPr>
          <w:rFonts w:ascii="바탕" w:hAnsi="바탕" w:eastAsia="바탕"/>
          <w:b/>
          <w:sz w:val="24"/>
        </w:rPr>
        <w:t>부록 B. 알고리즘 의사코드</w:t>
      </w:r>
    </w:p>
    <w:p>
      <w:pPr>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spacing w:lineRule="auto" w:line="360" w:after="160"/>
      </w:pPr>
      <w:r>
        <w:rPr>
          <w:rFonts w:ascii="바탕" w:hAnsi="바탕" w:eastAsia="바탕"/>
          <w:b/>
          <w:sz w:val="24"/>
        </w:rPr>
        <w:t>부록 C. 본 연구에서 재검토된 평가 지표 (버그 및 수정)</w:t>
      </w:r>
    </w:p>
    <w:p>
      <w:pPr>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spacing w:lineRule="auto" w:line="360" w:after="160"/>
      </w:pPr>
      <w:r>
        <w:rPr>
          <w:rFonts w:ascii="바탕" w:hAnsi="바탕" w:eastAsia="바탕"/>
          <w:b/>
          <w:sz w:val="24"/>
        </w:rPr>
        <w:t>부록 D. 실패 실험 기록 (Future Work 근거)</w:t>
      </w:r>
    </w:p>
    <w:p>
      <w:pPr>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spacing w:lineRule="auto" w:line="360" w:after="160"/>
      </w:pPr>
      <w:r>
        <w:rPr>
          <w:rFonts w:ascii="바탕" w:hAnsi="바탕" w:eastAsia="바탕"/>
          <w:b/>
          <w:sz w:val="24"/>
        </w:rPr>
        <w:t>부록 E. 컴퓨팅 자원 사용 요약</w:t>
      </w:r>
    </w:p>
    <w:p>
      <w:pPr>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스타일 기준. 본문에서 "(저자, 연도)" 또는 "저자 et al. (연도)" 형식으로 인용된 모든 문헌과 본 연구의 재현을 위해 필요한 도구 · 라이브러리 · 데이터셋을 포함한다.</w:t>
      </w:r>
    </w:p>
    <w:p>
      <w:pPr>
        <w:spacing w:lineRule="auto" w:line="360" w:after="160"/>
      </w:pPr>
      <w:r>
        <w:rPr>
          <w:rFonts w:ascii="바탕" w:hAnsi="바탕" w:eastAsia="바탕"/>
          <w:b/>
          <w:sz w:val="24"/>
        </w:rPr>
        <w:t>[1] 선행 및 직접 관련 연구</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2025. [GitHub 코드 및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(본 논문)</w:t>
      </w:r>
    </w:p>
    <w:p>
      <w:pPr>
        <w:spacing w:lineRule="auto" w:line="360" w:after="160"/>
      </w:pPr>
      <w:r>
        <w:rPr>
          <w:rFonts w:ascii="바탕" w:hAnsi="바탕" w:eastAsia="바탕"/>
          <w:b/>
          <w:sz w:val="24"/>
        </w:rPr>
        <w:t>[2] RAG 기본형 및 하이브리드 RAG</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spacing w:lineRule="auto" w:line="360" w:after="160"/>
      </w:pPr>
      <w:r>
        <w:rPr>
          <w:rFonts w:ascii="바탕" w:hAnsi="바탕" w:eastAsia="바탕"/>
          <w:b/>
          <w:sz w:val="24"/>
        </w:rPr>
        <w:t>[3] GraphRAG 및 구조화 지식 결합</w:t>
      </w:r>
    </w:p>
    <w:p>
      <w:pPr>
        <w:spacing w:lineRule="auto" w:line="480" w:after="0"/>
      </w:pPr>
      <w:r>
        <w:rPr>
          <w:rFonts w:ascii="바탕" w:hAnsi="바탕" w:eastAsia="바탕"/>
          <w:b w:val="0"/>
          <w:sz w:val="21"/>
        </w:rPr>
        <w:t>[5]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[6] B. Ma, C. Wu, and S. Ji, "Hybrid RAG: Integrating Knowledge Graph and Text Retrieval for Question Answering," in Proc. ACL Workshop on Knowledge Augmented Methods for NLP, 2024.</w:t>
      </w:r>
    </w:p>
    <w:p>
      <w:pPr>
        <w:spacing w:lineRule="auto" w:line="360" w:after="160"/>
      </w:pPr>
      <w:r>
        <w:rPr>
          <w:rFonts w:ascii="바탕" w:hAnsi="바탕" w:eastAsia="바탕"/>
          <w:b/>
          <w:sz w:val="24"/>
        </w:rPr>
        <w:t>[4] Self-Reflective / Corrective RAG</w:t>
      </w:r>
    </w:p>
    <w:p>
      <w:pPr>
        <w:spacing w:lineRule="auto" w:line="480" w:after="0"/>
      </w:pPr>
      <w:r>
        <w:rPr>
          <w:rFonts w:ascii="바탕" w:hAnsi="바탕" w:eastAsia="바탕"/>
          <w:b w:val="0"/>
          <w:sz w:val="21"/>
        </w:rPr>
        <w:t>[7]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[8] S. Yan, J. Gu, Y. Zhu, and Z. Ling, "Corrective Retrieval Augmented Generation (CRAG)," arXiv preprint arXiv:2401.15884, 2024.</w:t>
      </w:r>
    </w:p>
    <w:p>
      <w:pPr>
        <w:spacing w:lineRule="auto" w:line="360" w:after="160"/>
      </w:pPr>
      <w:r>
        <w:rPr>
          <w:rFonts w:ascii="바탕" w:hAnsi="바탕" w:eastAsia="바탕"/>
          <w:b/>
          <w:sz w:val="24"/>
        </w:rPr>
        <w:t>[5] 적응형 라우팅 및 쿼리 복잡도 기반 검색</w:t>
      </w:r>
    </w:p>
    <w:p>
      <w:pPr>
        <w:spacing w:lineRule="auto" w:line="480" w:after="0"/>
      </w:pPr>
      <w:r>
        <w:rPr>
          <w:rFonts w:ascii="바탕" w:hAnsi="바탕" w:eastAsia="바탕"/>
          <w:b w:val="0"/>
          <w:sz w:val="21"/>
        </w:rPr>
        <w:t>[9]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[10] O. Khattab and M. Zaharia, "ColBERT: Efficient and Effective Passage Search via Contextualized Late Interaction over BERT," in Proc. SIGIR, pp. 39–48, 2020.</w:t>
      </w:r>
    </w:p>
    <w:p>
      <w:pPr>
        <w:spacing w:lineRule="auto" w:line="360" w:after="160"/>
      </w:pPr>
      <w:r>
        <w:rPr>
          <w:rFonts w:ascii="바탕" w:hAnsi="바탕" w:eastAsia="바탕"/>
          <w:b/>
          <w:sz w:val="24"/>
        </w:rPr>
        <w:t>[6] 강화학습 (PPO) 및 정책 최적화</w:t>
      </w:r>
    </w:p>
    <w:p>
      <w:pPr>
        <w:spacing w:lineRule="auto" w:line="480" w:after="0"/>
      </w:pPr>
      <w:r>
        <w:rPr>
          <w:rFonts w:ascii="바탕" w:hAnsi="바탕" w:eastAsia="바탕"/>
          <w:b w:val="0"/>
          <w:sz w:val="21"/>
        </w:rPr>
        <w:t>[11] J. Schulman, S. Levine, P. Abbeel, M. Jordan, and P. Moritz, "Trust Region Policy Optimization," in Proc. ICML, 2015.</w:t>
      </w:r>
    </w:p>
    <w:p>
      <w:pPr>
        <w:spacing w:lineRule="auto" w:line="480" w:after="0"/>
      </w:pPr>
      <w:r>
        <w:rPr>
          <w:rFonts w:ascii="바탕" w:hAnsi="바탕" w:eastAsia="바탕"/>
          <w:b w:val="0"/>
          <w:sz w:val="21"/>
        </w:rPr>
        <w:t>[12]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[13] J. Schulman, F. Wolski, P. Dhariwal, A. Radford, and O. Klimov, "Proximal Policy Optimization Algorithms," arXiv preprint arXiv:1707.06347, 2017.</w:t>
      </w:r>
    </w:p>
    <w:p>
      <w:pPr>
        <w:spacing w:lineRule="auto" w:line="360" w:after="160"/>
      </w:pPr>
      <w:r>
        <w:rPr>
          <w:rFonts w:ascii="바탕" w:hAnsi="바탕" w:eastAsia="바탕"/>
          <w:b/>
          <w:sz w:val="24"/>
        </w:rPr>
        <w:t>[7] 언어 모델 및 임베딩</w:t>
      </w:r>
    </w:p>
    <w:p>
      <w:pPr>
        <w:spacing w:lineRule="auto" w:line="480" w:after="0"/>
      </w:pPr>
      <w:r>
        <w:rPr>
          <w:rFonts w:ascii="바탕" w:hAnsi="바탕" w:eastAsia="바탕"/>
          <w:b w:val="0"/>
          <w:sz w:val="21"/>
        </w:rPr>
        <w:t>[14]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[15] S. Park, J. Moon, S. Kim, J. Y. Cho, J. Han, et al., "KLUE: Korean Language Understanding Evaluation," in Advances in Neural Information Processing Systems (NeurIPS) Datasets and Benchmarks Track, 2021. (본 논문의 BERT Intent Classifier 는 klue/bert-base 사용)</w:t>
      </w:r>
    </w:p>
    <w:p>
      <w:pPr>
        <w:spacing w:lineRule="auto" w:line="480" w:after="0"/>
      </w:pPr>
      <w:r>
        <w:rPr>
          <w:rFonts w:ascii="바탕" w:hAnsi="바탕" w:eastAsia="바탕"/>
          <w:b w:val="0"/>
          <w:sz w:val="21"/>
        </w:rPr>
        <w:t>[16] OpenAI, "GPT-4o-mini: Advancing Cost-Efficient Intelligence," Technical Report, 2024. (본 논문 모든 LLM 호출에 사용, gpt-4o-mini-2024-07-18)</w:t>
      </w:r>
    </w:p>
    <w:p>
      <w:pPr>
        <w:spacing w:lineRule="auto" w:line="480" w:after="0"/>
      </w:pPr>
      <w:r>
        <w:rPr>
          <w:rFonts w:ascii="바탕" w:hAnsi="바탕" w:eastAsia="바탕"/>
          <w:b w:val="0"/>
          <w:sz w:val="21"/>
        </w:rPr>
        <w:t>[17] OpenAI, "text-embedding-3-small: New Embedding Model," 2024. (본 논문 Vector 임베딩 1,536-dim, 코사인 유사도)</w:t>
      </w:r>
    </w:p>
    <w:p>
      <w:pPr>
        <w:spacing w:lineRule="auto" w:line="360" w:after="160"/>
      </w:pPr>
      <w:r>
        <w:rPr>
          <w:rFonts w:ascii="바탕" w:hAnsi="바탕" w:eastAsia="바탕"/>
          <w:b/>
          <w:sz w:val="24"/>
        </w:rPr>
        <w:t>[8] 벤치마크 데이터셋</w:t>
      </w:r>
    </w:p>
    <w:p>
      <w:pPr>
        <w:spacing w:lineRule="auto" w:line="480" w:after="0"/>
      </w:pPr>
      <w:r>
        <w:rPr>
          <w:rFonts w:ascii="바탕" w:hAnsi="바탕" w:eastAsia="바탕"/>
          <w:b w:val="0"/>
          <w:sz w:val="21"/>
        </w:rPr>
        <w:t>[18]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[19]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[20] Q. Jin, B. Dhingra, Z. Liu, W. Cohen, and X. Lu, "PubMedQA: A Dataset for Biomedical Research Question Answering," in Proc. EMNLP-IJCNLP, pp. 2567–2577, 2019.</w:t>
      </w:r>
    </w:p>
    <w:p>
      <w:pPr>
        <w:spacing w:lineRule="auto" w:line="360" w:after="160"/>
      </w:pPr>
      <w:r>
        <w:rPr>
          <w:rFonts w:ascii="바탕" w:hAnsi="바탕" w:eastAsia="바탕"/>
          <w:b/>
          <w:sz w:val="24"/>
        </w:rPr>
        <w:t>[9] RAG 평가 방법론</w:t>
      </w:r>
    </w:p>
    <w:p>
      <w:pPr>
        <w:spacing w:lineRule="auto" w:line="480" w:after="0"/>
      </w:pPr>
      <w:r>
        <w:rPr>
          <w:rFonts w:ascii="바탕" w:hAnsi="바탕" w:eastAsia="바탕"/>
          <w:b w:val="0"/>
          <w:sz w:val="21"/>
        </w:rPr>
        <w:t>[21] S. ES, J. James, L. Espinosa Anke, and S. Schockaert, "RAGAS: Automated Evaluation of Retrieval Augmented Generation," arXiv preprint arXiv:2309.15217, 2023. (본 논문 Faithfulness 지표의 기반)</w:t>
      </w:r>
    </w:p>
    <w:p>
      <w:pPr>
        <w:spacing w:lineRule="auto" w:line="480" w:after="0"/>
      </w:pPr>
      <w:r>
        <w:rPr>
          <w:rFonts w:ascii="바탕" w:hAnsi="바탕" w:eastAsia="바탕"/>
          <w:b w:val="0"/>
          <w:sz w:val="21"/>
        </w:rPr>
        <w:t>[22] P. Rajpurkar, J. Zhang, K. Lopyrev, and P. Liang, "SQuAD: 100,000+ Questions for Machine Comprehension of Text," in Proc. EMNLP, pp. 2383–2392, 2016. (F1 / EM 평가 방법의 원류)</w:t>
      </w:r>
    </w:p>
    <w:p>
      <w:pPr>
        <w:spacing w:lineRule="auto" w:line="360" w:after="160"/>
      </w:pPr>
      <w:r>
        <w:rPr>
          <w:rFonts w:ascii="바탕" w:hAnsi="바탕" w:eastAsia="바탕"/>
          <w:b/>
          <w:sz w:val="24"/>
        </w:rPr>
        <w:t>[10] 도구 및 구현 의존성 (Software References)</w:t>
      </w:r>
    </w:p>
    <w:p>
      <w:pPr>
        <w:spacing w:lineRule="auto" w:line="480" w:after="0"/>
      </w:pPr>
      <w:r>
        <w:rPr>
          <w:rFonts w:ascii="바탕" w:hAnsi="바탕" w:eastAsia="바탕"/>
          <w:b w:val="0"/>
          <w:sz w:val="21"/>
        </w:rPr>
        <w:t>[23]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[24] A. A. Hagberg, D. A. Schult, and P. J. Swart, "Exploring Network Structure, Dynamics, and Function using NetworkX," in Proc. 7th Python in Science Conference, pp. 11–15, 2008. [https://networkx.org]</w:t>
      </w:r>
    </w:p>
    <w:p>
      <w:pPr>
        <w:spacing w:lineRule="auto" w:line="480" w:after="0"/>
      </w:pPr>
      <w:r>
        <w:rPr>
          <w:rFonts w:ascii="바탕" w:hAnsi="바탕" w:eastAsia="바탕"/>
          <w:b w:val="0"/>
          <w:sz w:val="21"/>
        </w:rPr>
        <w:t>[25] J.-B. Lamy, "Owlready: Ontology-oriented programming in Python with automatic classification and high level constructs for biomedical ontologies," Artificial Intelligence in Medicine, vol. 80, pp. 11–28, 2017. [https://owlready2.readthedocs.io]</w:t>
      </w:r>
    </w:p>
    <w:p>
      <w:pPr>
        <w:spacing w:lineRule="auto" w:line="480" w:after="0"/>
      </w:pPr>
      <w:r>
        <w:rPr>
          <w:rFonts w:ascii="바탕" w:hAnsi="바탕" w:eastAsia="바탕"/>
          <w:b w:val="0"/>
          <w:sz w:val="21"/>
        </w:rPr>
        <w:t>[26] R. Shearer, B. Motik, and I. Horrocks, "HermiT: A Highly-Efficient OWL Reasoner," in OWL: Experiences and Directions (OWLED), 2008. [http://www.hermit-reasoner.com]</w:t>
      </w:r>
    </w:p>
    <w:p>
      <w:pPr>
        <w:spacing w:lineRule="auto" w:line="480" w:after="0"/>
      </w:pPr>
      <w:r>
        <w:rPr>
          <w:rFonts w:ascii="바탕" w:hAnsi="바탕" w:eastAsia="바탕"/>
          <w:b w:val="0"/>
          <w:sz w:val="21"/>
        </w:rPr>
        <w:t>[27] A. Paszke, S. Gross, F. Massa, A. Lerer, J. Bradbury, et al., "PyTorch: An Imperative Style, High-Performance Deep Learning Library," in Advances in Neural Information Processing Systems (NeurIPS), vol. 32, pp. 8024–8035, 2019.</w:t>
      </w:r>
    </w:p>
    <w:p>
      <w:pPr>
        <w:spacing w:lineRule="auto" w:line="480" w:after="0"/>
      </w:pPr>
      <w:r>
        <w:rPr>
          <w:rFonts w:ascii="바탕" w:hAnsi="바탕" w:eastAsia="바탕"/>
          <w:b w:val="0"/>
          <w:sz w:val="21"/>
        </w:rPr>
        <w:t>[28] T. Wolf, L. Debut, V. Sanh, J. Chaumond, C. Delangue, et al., "Transformers: State-of-the-Art Natural Language Processing," in Proc. EMNLP Demo Track, 2020. [https://huggingface.co/docs/transformers]</w:t>
      </w:r>
    </w:p>
    <w:p>
      <w:pPr>
        <w:spacing w:lineRule="auto" w:line="480" w:after="0"/>
      </w:pPr>
      <w:r>
        <w:rPr>
          <w:rFonts w:ascii="바탕" w:hAnsi="바탕" w:eastAsia="바탕"/>
          <w:b w:val="0"/>
          <w:sz w:val="21"/>
        </w:rPr>
        <w:t>[29] Langchain-AI, "LangChain: Building applications with LLMs through composability," 2023. [https://langchain.com]</w:t>
      </w:r>
    </w:p>
    <w:p>
      <w:pPr>
        <w:spacing w:lineRule="auto" w:line="480" w:after="0"/>
      </w:pPr>
      <w:r>
        <w:rPr>
          <w:rFonts w:ascii="바탕" w:hAnsi="바탕" w:eastAsia="바탕"/>
          <w:b w:val="0"/>
          <w:sz w:val="21"/>
        </w:rPr>
        <w:t>[30] Streamlit Inc., "Streamlit: The fastest way to build and share data apps," 2024. [https://streamlit.io] (본 논문 대시보드 구현)</w:t>
      </w:r>
    </w:p>
    <w:p>
      <w:pPr>
        <w:spacing w:lineRule="auto" w:line="360" w:after="160"/>
      </w:pPr>
      <w:r>
        <w:rPr>
          <w:rFonts w:ascii="바탕" w:hAnsi="바탕" w:eastAsia="바탕"/>
          <w:b/>
          <w:sz w:val="24"/>
        </w:rPr>
        <w:t>[11] 저장소 및 재현 자료</w:t>
      </w:r>
    </w:p>
    <w:p>
      <w:pPr>
        <w:spacing w:lineRule="auto" w:line="480" w:after="0"/>
      </w:pPr>
      <w:r>
        <w:rPr>
          <w:rFonts w:ascii="바탕" w:hAnsi="바탕" w:eastAsia="바탕"/>
          <w:b w:val="0"/>
          <w:sz w:val="21"/>
        </w:rPr>
        <w:t>[31] D.-W. Shin, "Triple-Hybrid RAG PhD Thesis Repository," 2026. [https://github.com/sdw1621/triple-rag-phd]</w:t>
      </w:r>
    </w:p>
    <w:p>
      <w:pPr>
        <w:spacing w:lineRule="auto" w:line="480" w:after="0"/>
      </w:pPr>
      <w:r>
        <w:rPr>
          <w:rFonts w:ascii="바탕" w:hAnsi="바탕" w:eastAsia="바탕"/>
          <w:b w:val="0"/>
          <w:sz w:val="21"/>
        </w:rPr>
        <w:t>[32] D.-W. Shin, "hybrid-rag-comparsion (Prior Work Repository with CORRIGENDUM)," 2026. [https://github.com/sdw1621/hybrid-rag-comparsion/blob/main/CORRIGENDUM.md]</w:t>
      </w:r>
    </w:p>
    <w:p>
      <w:pPr>
        <w:spacing w:lineRule="auto" w:line="360" w:after="160"/>
      </w:pPr>
      <w:r>
        <w:rPr>
          <w:rFonts w:ascii="바탕" w:hAnsi="바탕" w:eastAsia="바탕"/>
          <w:b/>
          <w:sz w:val="24"/>
        </w:rPr>
        <w:t>참고문헌 정리 원칙</w:t>
      </w:r>
    </w:p>
    <w:p>
      <w:pPr>
        <w:pStyle w:val="ListNumber"/>
        <w:spacing w:lineRule="auto" w:line="360" w:after="0"/>
      </w:pPr>
      <w:r>
        <w:rPr>
          <w:rFonts w:ascii="바탕" w:hAnsi="바탕" w:eastAsia="바탕"/>
          <w:b w:val="0"/>
          <w:sz w:val="21"/>
        </w:rPr>
        <w:t>IEEE 스타일 을 기준으로 정렬하며, 동일 저자의 연속 발간 시 연도 역순.</w:t>
      </w:r>
    </w:p>
    <w:p>
      <w:pPr>
        <w:pStyle w:val="ListNumber"/>
        <w:spacing w:lineRule="auto" w:line="360" w:after="0"/>
      </w:pPr>
      <w:r>
        <w:rPr>
          <w:rFonts w:ascii="바탕" w:hAnsi="바탕" w:eastAsia="바탕"/>
          <w:b w:val="0"/>
          <w:sz w:val="21"/>
        </w:rPr>
        <w:t>온라인 리소스는 접근일을 본문 각주에 기재 (본 목록에는 저장소 URL 만 포함).</w:t>
      </w:r>
    </w:p>
    <w:p>
      <w:pPr>
        <w:pStyle w:val="ListNumber"/>
        <w:spacing w:lineRule="auto" w:line="360" w:after="0"/>
      </w:pPr>
      <w:r>
        <w:rPr>
          <w:rFonts w:ascii="바탕" w:hAnsi="바탕" w:eastAsia="바탕"/>
          <w:b w:val="0"/>
          <w:sz w:val="21"/>
        </w:rPr>
        <w:t>선행 저장소의 CORRIGENDUM 은 별도 항목 [32] 로 명시 — 본 박사논문의 재현성 기여 (§1.3.1) 의 직접 근거.</w:t>
      </w:r>
    </w:p>
    <w:p>
      <w:pPr>
        <w:pStyle w:val="ListNumber"/>
        <w:spacing w:lineRule="auto" w:line="360" w:after="0"/>
      </w:pPr>
      <w:r>
        <w:rPr>
          <w:rFonts w:ascii="바탕" w:hAnsi="바탕" w:eastAsia="바탕"/>
          <w:b w:val="0"/>
          <w:sz w:val="21"/>
        </w:rPr>
        <w:t>본문 미인용 이지만 본 연구의 재현에 필수 인 도구 (FAISS, NetworkX 등) 는 §10 에 "Software References" 로 포함.</w:t>
      </w:r>
    </w:p>
    <w:p>
      <w:pPr>
        <w:spacing w:lineRule="auto" w:line="480" w:after="0"/>
      </w:pPr>
      <w:r>
        <w:rPr>
          <w:rFonts w:ascii="바탕" w:hAnsi="바탕" w:eastAsia="바탕"/>
          <w:b w:val="0"/>
          <w:sz w:val="21"/>
        </w:rPr>
        <w:t>총 32 항목.</w:t>
      </w:r>
    </w:p>
    <w:p>
      <w:pPr>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