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560"/>
      </w:pPr>
      <w:r>
        <w:rPr>
          <w:rFonts w:ascii="Batang" w:cs="Batang" w:eastAsia="Batang" w:hAnsi="Batang"/>
          <w:b/>
          <w:bCs/>
          <w:sz w:val="28"/>
          <w:szCs w:val="28"/>
        </w:rPr>
        <w:t xml:space="preserve">Ⅰ. 서  론</w:t>
      </w:r>
    </w:p>
    <w:p>
      <w:pPr>
        <w:spacing w:after="0" w:line="280"/>
      </w:pPr>
      <w:r>
        <w:rPr>
          <w:rFonts w:ascii="Batang" w:cs="Batang" w:eastAsia="Batang" w:hAnsi="Batang"/>
          <w:b w:val="false"/>
          <w:bCs w:val="false"/>
          <w:sz w:val="20"/>
          <w:szCs w:val="20"/>
        </w:rPr>
        <w:t xml:space="preserve"/>
      </w:r>
    </w:p>
    <w:p>
      <w:pPr>
        <w:pStyle w:val="Heading2"/>
        <w:spacing w:after="180" w:before="360"/>
      </w:pPr>
      <w:r>
        <w:rPr>
          <w:rFonts w:ascii="Batang" w:cs="Batang" w:eastAsia="Batang" w:hAnsi="Batang"/>
          <w:b/>
          <w:bCs/>
          <w:sz w:val="24"/>
          <w:szCs w:val="24"/>
        </w:rPr>
        <w:t xml:space="preserve">1. 연구 배경 및 문제 정의</w:t>
      </w:r>
    </w:p>
    <w:p>
      <w:pPr>
        <w:pStyle w:val="Heading3"/>
        <w:spacing w:after="140" w:before="240"/>
        <w:ind w:left="300"/>
      </w:pPr>
      <w:r>
        <w:rPr>
          <w:rFonts w:ascii="Batang" w:cs="Batang" w:eastAsia="Batang" w:hAnsi="Batang"/>
          <w:b/>
          <w:bCs/>
          <w:sz w:val="22"/>
          <w:szCs w:val="22"/>
        </w:rPr>
        <w:t xml:space="preserve">가. LLM 환각 문제와 RAG의 등장</w:t>
      </w:r>
    </w:p>
    <w:p>
      <w:pPr>
        <w:spacing w:after="120" w:line="320"/>
        <w:ind w:firstLine="380"/>
      </w:pPr>
      <w:r>
        <w:rPr>
          <w:rFonts w:ascii="Batang" w:cs="Batang" w:eastAsia="Batang" w:hAnsi="Batang"/>
          <w:b w:val="false"/>
          <w:bCs w:val="false"/>
          <w:sz w:val="20"/>
          <w:szCs w:val="20"/>
        </w:rPr>
        <w:t xml:space="preserve">대규모 언어 모델(Large Language Model, LLM)의 환각(Hallucination) 현상은 생성형 AI의 기업 도입을 저해하는 핵심 요인이다(Ji et al., 2023). Bender et al.(2021)이 제안한 "확률적 앵무새(Stochastic Parrot)" 개념에 따르면, LLM은 사실 관계의 논리적 타당성보다 언어 통계에 따라 그럴듯한 문장을 생성하는 특성을 가진다. 이 한계를 극복하기 위해 Lewis et al.(2020)이 제안한 검색 증강 생성(Retrieval-Augmented Generation, RAG) 기술은 외부 지식 베이스를 동적으로 참조하여 답변의 사실적 근거를 확보하는 접근을 제시하였으며, 기업 환경의 내부 문서 기반 질의응답 시스템의 표준 구축 방식이 되었다.</w:t>
      </w:r>
    </w:p>
    <w:p>
      <w:pPr>
        <w:spacing w:after="120" w:line="320"/>
        <w:ind w:firstLine="380"/>
      </w:pPr>
      <w:r>
        <w:rPr>
          <w:rFonts w:ascii="Batang" w:cs="Batang" w:eastAsia="Batang" w:hAnsi="Batang"/>
          <w:b w:val="false"/>
          <w:bCs w:val="false"/>
          <w:sz w:val="20"/>
          <w:szCs w:val="20"/>
        </w:rPr>
        <w:t xml:space="preserve">그러나 전통적 벡터 기반 RAG는 여전히 복잡한 질의에서 약 60%의 정확도에 머물며, 20% 이상의 불완전 답변을 생성하는 것으로 보고된다(Gao et al., 2024). 특히 다단계 추론이 필요한 복합 질의에서 단일 벡터 검색의 한계가 두드러지며, HopRAG의 실험 결과에 따르면 전통적 RAG는 multi-hop 질의에서 retrieve-reason-prune 시스템 대비 **76.78% 낮은 성능**을 보였다(Chen et al., 2025). 이러한 RAG의 실질적 한계는 의료, 법률, 금융 등 고신뢰성 도메인으로의 확산을 제약하는 병목으로 작용하고 있다.</w:t>
      </w:r>
    </w:p>
    <w:p>
      <w:pPr>
        <w:pStyle w:val="Heading3"/>
        <w:spacing w:after="140" w:before="240"/>
        <w:ind w:left="300"/>
      </w:pPr>
      <w:r>
        <w:rPr>
          <w:rFonts w:ascii="Batang" w:cs="Batang" w:eastAsia="Batang" w:hAnsi="Batang"/>
          <w:b/>
          <w:bCs/>
          <w:sz w:val="22"/>
          <w:szCs w:val="22"/>
        </w:rPr>
        <w:t xml:space="preserve">나. 기존 RAG 접근의 세 가지 구조적 한계</w:t>
      </w:r>
    </w:p>
    <w:p>
      <w:pPr>
        <w:spacing w:after="120" w:line="320"/>
        <w:ind w:firstLine="380"/>
      </w:pPr>
      <w:r>
        <w:rPr>
          <w:rFonts w:ascii="Batang" w:cs="Batang" w:eastAsia="Batang" w:hAnsi="Batang"/>
          <w:b w:val="false"/>
          <w:bCs w:val="false"/>
          <w:sz w:val="20"/>
          <w:szCs w:val="20"/>
        </w:rPr>
        <w:t xml:space="preserve">전통적 벡터 기반 RAG는 다음 세 가지 구조적 한계를 드러낸다. 첫째, 청크 단위 분할로 인한 **지식 단편화**로, 특정 개체에 관한 정보가 여러 청크에 분산된 경우 벡터 유사도만으로는 연결성을 복원하기 어렵다(Khattab et al., 2022). 둘째, **수치·논리 처리 불가**로, "40세 이하"와 같은 범위 조건이나 복잡한 조건 결합을 임베딩 공간에서 엄격히 필터링할 수 없다(Guarino et al., 2009). 셋째, **다단계 관계 추론 한계**로, 여러 노드를 거쳐야 하는 정보 탐색에서 관련 문서 누락 확률이 높다.</w:t>
      </w:r>
    </w:p>
    <w:p>
      <w:pPr>
        <w:spacing w:after="120" w:line="320"/>
        <w:ind w:firstLine="380"/>
      </w:pPr>
      <w:r>
        <w:rPr>
          <w:rFonts w:ascii="Batang" w:cs="Batang" w:eastAsia="Batang" w:hAnsi="Batang"/>
          <w:b w:val="false"/>
          <w:bCs w:val="false"/>
          <w:sz w:val="20"/>
          <w:szCs w:val="20"/>
        </w:rPr>
        <w:t xml:space="preserve">이러한 한계 극복을 위해 다양한 접근이 제안되었다. GraphRAG(Edge et al., 2024)는 커뮤니티 탐지 기반 그래프 검색을 도입하여 LinkedIn 고객 지원에서 티켓 해결 시간 **63% 단축**을 달성하였고, HybridRAG(Sarmah et al., 2024)는 벡터와 그래프 결합을, Adaptive-RAG(Jeong et al., 2024)는 질의 복잡도 기반 이산 라우팅을 제시하였다. 그러나 **세 가지 이상의 이질적 지식 소스를 연속적 가중치로 통합하는 체계적 방법론**은 아직 확립되지 않았다.</w:t>
      </w:r>
    </w:p>
    <w:p>
      <w:pPr>
        <w:pStyle w:val="Heading3"/>
        <w:spacing w:after="140" w:before="240"/>
        <w:ind w:left="300"/>
      </w:pPr>
      <w:r>
        <w:rPr>
          <w:rFonts w:ascii="Batang" w:cs="Batang" w:eastAsia="Batang" w:hAnsi="Batang"/>
          <w:b/>
          <w:bCs/>
          <w:sz w:val="22"/>
          <w:szCs w:val="22"/>
        </w:rPr>
        <w:t xml:space="preserve">다. 선행 연구의 성과와 남은 한계</w:t>
      </w:r>
    </w:p>
    <w:p>
      <w:pPr>
        <w:spacing w:after="120" w:line="320"/>
        <w:ind w:firstLine="380"/>
      </w:pPr>
      <w:r>
        <w:rPr>
          <w:rFonts w:ascii="Batang" w:cs="Batang" w:eastAsia="Batang" w:hAnsi="Batang"/>
          <w:b w:val="false"/>
          <w:bCs w:val="false"/>
          <w:sz w:val="20"/>
          <w:szCs w:val="20"/>
        </w:rPr>
        <w:t xml:space="preserve">본 연구의 저자는 선행 논문에서 Vector, Graph, Ontology를 통합한 Triple-Hybrid RAG 프레임워크와 규칙 기반 동적 가중치 알고리즘(Rule-based Dynamic Weighting Algorithm, R-DWA)을 제안하였다(신동욱·문남미, 2025). 합성 대학 행정 5,000 QA 데이터셋에서 F1 Score 0.86, Exact Match 0.78을 달성하여 단일 벡터 소스(F1 0.72) 대비 **F1 +19.4%, 복합 질의 EM +34.5%**의 성능 향상을 입증하였고, HotpotQA hard 300 문항 검증에서 F1 +22.9%로 도메인 독립성을 예비 확인하였다.</w:t>
      </w:r>
    </w:p>
    <w:p>
      <w:pPr>
        <w:spacing w:after="120" w:line="320"/>
        <w:ind w:firstLine="380"/>
      </w:pPr>
      <w:r>
        <w:rPr>
          <w:rFonts w:ascii="Batang" w:cs="Batang" w:eastAsia="Batang" w:hAnsi="Batang"/>
          <w:b w:val="false"/>
          <w:bCs w:val="false"/>
          <w:sz w:val="20"/>
          <w:szCs w:val="20"/>
        </w:rPr>
        <w:t xml:space="preserve">그러나 규칙 기반 DWA는 **세 가지 근본적 한계**를 가진다. 첫째, 가중치 조정 함수의 파라미터(λ)를 그리드 탐색으로 결정하는 **휴리스틱 의존성**. 둘째, 질의 유형 분류기가 multi_hop과 conditional을 단일 레이블로 분류하여 **경계선상 질의(전체 오답의 약 14.5%)에서 구조적 실패**가 발생. 셋째, 선형 수식이 질의-지식 소스 간 복잡한 **비선형 관계를 포착하지 못함**. 이 세 한계가 본 박사학위 논문의 출발점이다.</w:t>
      </w:r>
    </w:p>
    <w:p>
      <w:r>
        <w:br w:type="page"/>
      </w:r>
    </w:p>
    <w:p>
      <w:pPr>
        <w:pStyle w:val="Heading2"/>
        <w:spacing w:after="180" w:before="360"/>
      </w:pPr>
      <w:r>
        <w:rPr>
          <w:rFonts w:ascii="Batang" w:cs="Batang" w:eastAsia="Batang" w:hAnsi="Batang"/>
          <w:b/>
          <w:bCs/>
          <w:sz w:val="24"/>
          <w:szCs w:val="24"/>
        </w:rPr>
        <w:t xml:space="preserve">2. 연구 목적 및 연구 질문</w:t>
      </w:r>
    </w:p>
    <w:p>
      <w:pPr>
        <w:spacing w:after="120" w:line="320"/>
        <w:ind w:firstLine="380"/>
      </w:pPr>
      <w:r>
        <w:rPr>
          <w:rFonts w:ascii="Batang" w:cs="Batang" w:eastAsia="Batang" w:hAnsi="Batang"/>
          <w:b w:val="false"/>
          <w:bCs w:val="false"/>
          <w:sz w:val="20"/>
          <w:szCs w:val="20"/>
        </w:rPr>
        <w:t xml:space="preserve">본 연구의 목적은 Triple-Hybrid RAG의 가중치 결정을 강화학습 문제로 형식화하고, 근위 정책 최적화(PPO) 기반 학습형 동적 가중치 알고리즘(Learned DWA, L-DWA)을 통해 규칙 기반 접근의 한계를 체계적으로 극복하는 것이다. 본 연구는 다음 네 가지 **연구 질문(Research Question, RQ)**을 다룬다.</w:t>
      </w:r>
    </w:p>
    <w:p>
      <w:pPr>
        <w:spacing w:after="160" w:before="80"/>
        <w:jc w:val="center"/>
      </w:pPr>
      <w:r>
        <w:rPr>
          <w:rFonts w:ascii="Batang" w:cs="Batang" w:eastAsia="Batang" w:hAnsi="Batang"/>
          <w:b w:val="false"/>
          <w:bCs w:val="false"/>
          <w:sz w:val="18"/>
          <w:szCs w:val="18"/>
        </w:rPr>
        <w:t xml:space="preserve">[표 1-1] 본 연구의 핵심 연구 질문</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439"/>
      </w:tblGrid>
      <w:tr>
        <w:tc>
          <w:tcPr>
            <w:tcW w:type="dxa" w:w="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RQ</w:t>
            </w:r>
          </w:p>
        </w:tc>
        <w:tc>
          <w:tcPr>
            <w:tcW w:type="dxa" w:w="4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연구 질문</w:t>
            </w:r>
          </w:p>
        </w:tc>
        <w:tc>
          <w:tcPr>
            <w:tcW w:type="dxa" w:w="44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답변 위치</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RQ1</w:t>
            </w:r>
          </w:p>
        </w:tc>
        <w:tc>
          <w:tcPr>
            <w:tcW w:type="dxa" w:w="4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Triple-Hybrid RAG 가중치 결정을 MDP로 형식화하고 PPO로 학습 가능한가?</w:t>
            </w:r>
          </w:p>
        </w:tc>
        <w:tc>
          <w:tcPr>
            <w:tcW w:type="dxa" w:w="44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Ⅴ장 1~3절 (MDP, Actor-Critic, PPO)</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RQ2</w:t>
            </w:r>
          </w:p>
        </w:tc>
        <w:tc>
          <w:tcPr>
            <w:tcW w:type="dxa" w:w="4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학습 기반 L-DWA가 규칙 기반 R-DWA 대비 정량적 우위를 입증하는가?</w:t>
            </w:r>
          </w:p>
        </w:tc>
        <w:tc>
          <w:tcPr>
            <w:tcW w:type="dxa" w:w="44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Ⅵ장 3·4절 (F1_strict +18.6%, Conditional F1_substring +131%)</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RQ3</w:t>
            </w:r>
          </w:p>
        </w:tc>
        <w:tc>
          <w:tcPr>
            <w:tcW w:type="dxa" w:w="4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경계선상 질의(Multi-hop ∩ Conditional)를 멀티 레이블 분류로 해결 가능한가?</w:t>
            </w:r>
          </w:p>
        </w:tc>
        <w:tc>
          <w:tcPr>
            <w:tcW w:type="dxa" w:w="44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Ⅴ장 4절 + Ⅵ장 4절 (Conditional F1_substring 0.090→0.208, +131%)</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RQ4</w:t>
            </w:r>
          </w:p>
        </w:tc>
        <w:tc>
          <w:tcPr>
            <w:tcW w:type="dxa" w:w="4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동일 아키텍처가 도메인 독립적으로 일관된 성능을 보이는가?</w:t>
            </w:r>
          </w:p>
        </w:tc>
        <w:tc>
          <w:tcPr>
            <w:tcW w:type="dxa" w:w="44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Ⅵ장 4~6절 (4개 벤치마크 검증)</w:t>
            </w:r>
          </w:p>
        </w:tc>
      </w:tr>
    </w:tbl>
    <w:p>
      <w:pPr>
        <w:spacing w:after="0" w:line="280"/>
      </w:pPr>
      <w:r>
        <w:rPr>
          <w:rFonts w:ascii="Batang" w:cs="Batang" w:eastAsia="Batang" w:hAnsi="Batang"/>
          <w:b w:val="false"/>
          <w:bCs w:val="false"/>
          <w:sz w:val="20"/>
          <w:szCs w:val="20"/>
        </w:rPr>
        <w:t xml:space="preserve"/>
      </w:r>
    </w:p>
    <w:p>
      <w:pPr>
        <w:spacing w:after="120" w:line="320"/>
        <w:ind w:firstLine="380"/>
      </w:pPr>
      <w:r>
        <w:rPr>
          <w:rFonts w:ascii="Batang" w:cs="Batang" w:eastAsia="Batang" w:hAnsi="Batang"/>
          <w:b w:val="false"/>
          <w:bCs w:val="false"/>
          <w:sz w:val="20"/>
          <w:szCs w:val="20"/>
        </w:rPr>
        <w:t xml:space="preserve">이 네 가지 연구 질문에 대한 답변은 Ⅵ장 실험을 통해 실증적으로 확보되며, 모든 답변이 긍정적임을 [표 1-2]의 학술적 기여와 연계하여 보인다.</w:t>
      </w:r>
    </w:p>
    <w:p>
      <w:pPr>
        <w:pStyle w:val="Heading2"/>
        <w:spacing w:after="180" w:before="360"/>
      </w:pPr>
      <w:r>
        <w:rPr>
          <w:rFonts w:ascii="Batang" w:cs="Batang" w:eastAsia="Batang" w:hAnsi="Batang"/>
          <w:b/>
          <w:bCs/>
          <w:sz w:val="24"/>
          <w:szCs w:val="24"/>
        </w:rPr>
        <w:t xml:space="preserve">3. 학술적 기여와 정량적 우위</w:t>
      </w:r>
    </w:p>
    <w:p>
      <w:pPr>
        <w:spacing w:after="120" w:line="320"/>
        <w:ind w:firstLine="380"/>
      </w:pPr>
      <w:r>
        <w:rPr>
          <w:rFonts w:ascii="Batang" w:cs="Batang" w:eastAsia="Batang" w:hAnsi="Batang"/>
          <w:b w:val="false"/>
          <w:bCs w:val="false"/>
          <w:sz w:val="20"/>
          <w:szCs w:val="20"/>
        </w:rPr>
        <w:t xml:space="preserve">본 연구의 학술적 기여는 다섯 가지로 정리되며, 각 기여는 Ⅵ장의 구체적 실증 결과와 직결된다.</w:t>
      </w:r>
    </w:p>
    <w:p>
      <w:pPr>
        <w:spacing w:after="160" w:before="80"/>
        <w:jc w:val="center"/>
      </w:pPr>
      <w:r>
        <w:rPr>
          <w:rFonts w:ascii="Batang" w:cs="Batang" w:eastAsia="Batang" w:hAnsi="Batang"/>
          <w:b w:val="false"/>
          <w:bCs w:val="false"/>
          <w:sz w:val="18"/>
          <w:szCs w:val="18"/>
        </w:rPr>
        <w:t xml:space="preserve">[표 1-2] 다섯 가지 학술적 기여와 Ⅵ장 실증 결과</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800"/>
        <w:gridCol w:w="2639"/>
      </w:tblGrid>
      <w:tr>
        <w:tc>
          <w:tcPr>
            <w:tcW w:type="dxa" w:w="7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w:t>
            </w:r>
          </w:p>
        </w:tc>
        <w:tc>
          <w:tcPr>
            <w:tcW w:type="dxa" w:w="25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학술적 기여</w:t>
            </w:r>
          </w:p>
        </w:tc>
        <w:tc>
          <w:tcPr>
            <w:tcW w:type="dxa" w:w="2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Ⅵ장 실증 결과</w:t>
            </w:r>
          </w:p>
        </w:tc>
        <w:tc>
          <w:tcPr>
            <w:tcW w:type="dxa" w:w="26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대응 RQ</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Triple-Hybrid RAG 가중치 결정의 MDP 형식화 (최초)</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18차원 상태·3D Dirichlet 행동·복합 보상으로 안정 학습 달성</w:t>
            </w:r>
          </w:p>
        </w:tc>
        <w:tc>
          <w:tcPr>
            <w:tcW w:type="dxa" w:w="2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RQ1</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PPO 기반 학습형 DWA (L-DWA) 제안</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합성 대학 F1_strict 0.085±0.001, F1_substring 0.482±0.006 (R-DWA F1_strict 0.072 대비 +18.6%, F1_substring 0.448 대비 +7.5%, 3 seeds 평균)</w:t>
            </w:r>
          </w:p>
        </w:tc>
        <w:tc>
          <w:tcPr>
            <w:tcW w:type="dxa" w:w="2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RQ2</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3</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R-DWA vs L-DWA 정량 비교</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Ablation (A)→(D) 단조 증가, L-DWA 추가 F1_strict +18.6% (3 seeds 재현성 std &lt; 1.5%)</w:t>
            </w:r>
          </w:p>
        </w:tc>
        <w:tc>
          <w:tcPr>
            <w:tcW w:type="dxa" w:w="2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RQ2</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4</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BERT 멀티 레이블 Intent Classifier</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Conditional F1_substring 0.090→0.208 (+131% 개선, Oracle 상한 0.195 초과)</w:t>
            </w:r>
          </w:p>
        </w:tc>
        <w:tc>
          <w:tcPr>
            <w:tcW w:type="dxa" w:w="2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RQ3</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5</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4개 벤치마크 도메인 일반화 검증</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대학 +9.9%, HotpotQA +33%, MuSiQue +50%, 의료 +16%</w:t>
            </w:r>
          </w:p>
        </w:tc>
        <w:tc>
          <w:tcPr>
            <w:tcW w:type="dxa" w:w="2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RQ4</w:t>
            </w:r>
          </w:p>
        </w:tc>
      </w:tr>
    </w:tbl>
    <w:p>
      <w:pPr>
        <w:spacing w:after="0" w:line="280"/>
      </w:pPr>
      <w:r>
        <w:rPr>
          <w:rFonts w:ascii="Batang" w:cs="Batang" w:eastAsia="Batang" w:hAnsi="Batang"/>
          <w:b w:val="false"/>
          <w:bCs w:val="false"/>
          <w:sz w:val="20"/>
          <w:szCs w:val="20"/>
        </w:rPr>
        <w:t xml:space="preserve"/>
      </w:r>
    </w:p>
    <w:p>
      <w:pPr>
        <w:spacing w:after="120" w:line="320"/>
        <w:ind w:firstLine="380"/>
      </w:pPr>
      <w:r>
        <w:rPr>
          <w:rFonts w:ascii="Batang" w:cs="Batang" w:eastAsia="Batang" w:hAnsi="Batang"/>
          <w:b w:val="false"/>
          <w:bCs w:val="false"/>
          <w:sz w:val="20"/>
          <w:szCs w:val="20"/>
        </w:rPr>
        <w:t xml:space="preserve">방법론적 혁신으로 **오프라인 캐싱 기반 효율적 학습**이 제안된다. 가중치 공간을 0.1 단위로 이산화하여 모든 (질의, 가중치) 조합의 보상을 사전 계산함으로써, LLM 호출 비용을 **$100에서 $15로 (-85%)**, 학습 시간을 **50시간에서 1시간으로 (-98%)** 단축한다. 이는 재현 가능한 강화학습 기반 RAG 연구의 실용적 기반을 제공한다.</w:t>
      </w:r>
    </w:p>
    <w:p>
      <w:pPr>
        <w:spacing w:after="120" w:line="320"/>
        <w:ind w:firstLine="380"/>
      </w:pPr>
      <w:r>
        <w:rPr>
          <w:rFonts w:ascii="Batang" w:cs="Batang" w:eastAsia="Batang" w:hAnsi="Batang"/>
          <w:b w:val="false"/>
          <w:bCs w:val="false"/>
          <w:sz w:val="20"/>
          <w:szCs w:val="20"/>
        </w:rPr>
        <w:t>실용적 기여의 종합적 성과는 다음 네 가지로 요약된다. 첫째, **비용·시간 진입 장벽 대폭 완화**(-85%, -98%)로 학계 및 중소기업의 후속 연구 참여 확대. 둘째, **조건부 질의 F1_substring +131% 개선**으로 실사용자 경험의 결정적 향상. 셋째, **Zero-shot 도메인 이전**으로 새 도메인 적용 시 재설계 비용 제거. 넷째, **학습된 정책의 해석 가능성**으로 의료·법률 등 고위험 도메인의 신뢰도 요구 충족.</w:t>
      </w:r>
    </w:p>
    <w:p>
      <w:r>
        <w:br w:type="page"/>
      </w:r>
    </w:p>
    <w:p>
      <w:pPr>
        <w:pStyle w:val="Heading2"/>
        <w:spacing w:after="180" w:before="360"/>
      </w:pPr>
      <w:r>
        <w:rPr>
          <w:rFonts w:ascii="Batang" w:cs="Batang" w:eastAsia="Batang" w:hAnsi="Batang"/>
          <w:b/>
          <w:bCs/>
          <w:sz w:val="24"/>
          <w:szCs w:val="24"/>
        </w:rPr>
        <w:t xml:space="preserve">4. 연구 범위 및 제한</w:t>
      </w:r>
    </w:p>
    <w:p>
      <w:pPr>
        <w:pStyle w:val="Heading3"/>
        <w:spacing w:after="140" w:before="240"/>
        <w:ind w:left="300"/>
      </w:pPr>
      <w:r>
        <w:rPr>
          <w:rFonts w:ascii="Batang" w:cs="Batang" w:eastAsia="Batang" w:hAnsi="Batang"/>
          <w:b/>
          <w:bCs/>
          <w:sz w:val="22"/>
          <w:szCs w:val="22"/>
        </w:rPr>
        <w:t xml:space="preserve">가. 연구 범위</w:t>
      </w:r>
    </w:p>
    <w:p>
      <w:pPr>
        <w:spacing w:after="120" w:line="320"/>
        <w:ind w:firstLine="380"/>
      </w:pPr>
      <w:r>
        <w:rPr>
          <w:rFonts w:ascii="Batang" w:cs="Batang" w:eastAsia="Batang" w:hAnsi="Batang"/>
          <w:b w:val="false"/>
          <w:bCs w:val="false"/>
          <w:sz w:val="20"/>
          <w:szCs w:val="20"/>
        </w:rPr>
        <w:t xml:space="preserve">본 연구의 기술적 범위는 다음과 같다. **지식 소스**는 Vector(FAISS), Graph(NetworkX BFS 3-hop), Ontology(Owlready2 + HermiT) 세 가지이며, 각각 상호 독립 모듈로 설계된다. **강화학습 알고리즘**은 PPO를 주 대상으로 하되, 비교 분석에 REINFORCE, A2C, SAC를 포함한다. **LLM 백본**은 GPT-4o-mini(주), Claude 3.5 Haiku, Gemini 1.5 Flash 세 모델이다. **평가 벤치마크**는 (1) 합성 대학 행정 5,000 QA (선행 논문 재사용), (2) HotpotQA hard 300, (3) MuSiQue dev 300, (4) PubMedQA 제약 특화 300 (SNOMED CT 경량 서브셋 5,000 개념 활용)의 네 가지이다.</w:t>
      </w:r>
    </w:p>
    <w:p>
      <w:pPr>
        <w:spacing w:after="120" w:line="320"/>
        <w:ind w:firstLine="380"/>
      </w:pPr>
      <w:r>
        <w:rPr>
          <w:rFonts w:ascii="Batang" w:cs="Batang" w:eastAsia="Batang" w:hAnsi="Batang"/>
          <w:b w:val="false"/>
          <w:bCs w:val="false"/>
          <w:sz w:val="20"/>
          <w:szCs w:val="20"/>
        </w:rPr>
        <w:t xml:space="preserve">**평가 지표**는 F1 Score, Exact Match(EM), RAGAS Faithfulness, Latency의 네 가지를 표준으로 한다. 재현성 확보를 위해 모든 하이퍼파라미터·랜덤 시드·데이터 분할 정보를 공개하며, 전체 코드·오프라인 캐시·PPO 체크포인트를 GitHub 오픈소스로 배포한다. PPO 학습은 서로 다른 3개 랜덤 시드(42, 123, 999)로 독립 실행 후 평균 성능을 보고하여 결과의 통계적 신뢰성을 확보한다.</w:t>
      </w:r>
    </w:p>
    <w:p>
      <w:pPr>
        <w:pStyle w:val="Heading3"/>
        <w:spacing w:after="140" w:before="240"/>
        <w:ind w:left="300"/>
      </w:pPr>
      <w:r>
        <w:rPr>
          <w:rFonts w:ascii="Batang" w:cs="Batang" w:eastAsia="Batang" w:hAnsi="Batang"/>
          <w:b/>
          <w:bCs/>
          <w:sz w:val="22"/>
          <w:szCs w:val="22"/>
        </w:rPr>
        <w:t xml:space="preserve">나. 연구의 제한점</w:t>
      </w:r>
    </w:p>
    <w:p>
      <w:pPr>
        <w:spacing w:after="120" w:line="320"/>
        <w:ind w:firstLine="380"/>
      </w:pPr>
      <w:r>
        <w:rPr>
          <w:rFonts w:ascii="Batang" w:cs="Batang" w:eastAsia="Batang" w:hAnsi="Batang"/>
          <w:b w:val="false"/>
          <w:bCs w:val="false"/>
          <w:sz w:val="20"/>
          <w:szCs w:val="20"/>
        </w:rPr>
        <w:t xml:space="preserve">본 연구는 다음 한계를 가진다. 첫째, **지식 그래프와 온톨로지의 자동 구축**은 범위에서 제외되었다. 대학 행정에서는 합성 데이터를, 의료 도메인에서는 SNOMED CT의 기존 구조를 활용하였다. 둘째, PPO 학습은 오프라인 캐싱 기반으로 가중치 공간 이산화(0.1 단위) 손실(F1 약 0.001)을 수반한다. 셋째, 보상은 자동 지표에 주로 의존하며 대규모 인간 평가는 수행하지 못하였다. 넷째, **Vision·Audio 등 추가 모달리티는 N-소스 일반화의 이론적 설계로만 논의**되며, 실증은 저자가 연구책임자로 참여할 예정인 대형 국책 R&amp;D 과제(2026.5~2031.4)와 **국내 제약 온톨로지 전문 기업과의 산학 협력**을 통한 후속 연구에서 수행된다.</w:t>
      </w:r>
    </w:p>
    <w:p>
      <w:pPr>
        <w:pStyle w:val="Heading2"/>
        <w:spacing w:after="180" w:before="360"/>
      </w:pPr>
      <w:r>
        <w:rPr>
          <w:rFonts w:ascii="Batang" w:cs="Batang" w:eastAsia="Batang" w:hAnsi="Batang"/>
          <w:b/>
          <w:bCs/>
          <w:sz w:val="24"/>
          <w:szCs w:val="24"/>
        </w:rPr>
        <w:t xml:space="preserve">5. 논문의 구성</w:t>
      </w:r>
    </w:p>
    <w:p>
      <w:pPr>
        <w:spacing w:after="160" w:before="80"/>
        <w:jc w:val="center"/>
      </w:pPr>
      <w:r>
        <w:rPr>
          <w:rFonts w:ascii="Batang" w:cs="Batang" w:eastAsia="Batang" w:hAnsi="Batang"/>
          <w:b w:val="false"/>
          <w:bCs w:val="false"/>
          <w:sz w:val="18"/>
          <w:szCs w:val="18"/>
        </w:rPr>
        <w:t xml:space="preserve">[표 1-3] 논문의 구성 및 장별 핵심 기여</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739"/>
        <w:gridCol w:w="200"/>
      </w:tblGrid>
      <w:tr>
        <w:tc>
          <w:tcPr>
            <w:tcW w:type="dxa" w:w="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장</w:t>
            </w:r>
          </w:p>
        </w:tc>
        <w:tc>
          <w:tcPr>
            <w:tcW w:type="dxa" w:w="22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제목</w:t>
            </w:r>
          </w:p>
        </w:tc>
        <w:tc>
          <w:tcPr>
            <w:tcW w:type="dxa" w:w="47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핵심 기여 및 수치</w:t>
            </w:r>
          </w:p>
        </w:tc>
        <w:tc>
          <w:tcPr>
            <w:tcW w:type="dxa" w:w="2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p</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Ⅰ</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서론</w:t>
            </w:r>
          </w:p>
        </w:tc>
        <w:tc>
          <w:tcPr>
            <w:tcW w:type="dxa" w:w="4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4 RQ + 5 학술 기여 + 범위 및 제한</w:t>
            </w:r>
          </w:p>
        </w:tc>
        <w:tc>
          <w:tcPr>
            <w:tcW w:type="dxa" w:w="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9</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Ⅱ</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관련 연구</w:t>
            </w:r>
          </w:p>
        </w:tc>
        <w:tc>
          <w:tcPr>
            <w:tcW w:type="dxa" w:w="4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Vector/Graph/Ontology/RL/Hybrid/의료 RAG 7가지 연구 공백 규명</w:t>
            </w:r>
          </w:p>
        </w:tc>
        <w:tc>
          <w:tcPr>
            <w:tcW w:type="dxa" w:w="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16</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Ⅲ</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Triple-Hybrid 아키텍처</w:t>
            </w:r>
          </w:p>
        </w:tc>
        <w:tc>
          <w:tcPr>
            <w:tcW w:type="dxa" w:w="4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3중 지식 소스 상호 보완성 [표 3-1] + 도메인 중립 설계</w:t>
            </w:r>
          </w:p>
        </w:tc>
        <w:tc>
          <w:tcPr>
            <w:tcW w:type="dxa" w:w="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13</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Ⅳ</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R-DWA</w:t>
            </w:r>
          </w:p>
        </w:tc>
        <w:tc>
          <w:tcPr>
            <w:tcW w:type="dxa" w:w="4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2단계 가중치 결정, λ=0.3 최적, 3가지 구조적 한계 규명</w:t>
            </w:r>
          </w:p>
        </w:tc>
        <w:tc>
          <w:tcPr>
            <w:tcW w:type="dxa" w:w="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13</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Ⅴ</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PPO 기반 L-DWA (핵심)</w:t>
            </w:r>
          </w:p>
        </w:tc>
        <w:tc>
          <w:tcPr>
            <w:tcW w:type="dxa" w:w="4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MDP 형식화 + Actor-Critic + BERT + 캐싱 + N-소스 일반화</w:t>
            </w:r>
          </w:p>
        </w:tc>
        <w:tc>
          <w:tcPr>
            <w:tcW w:type="dxa" w:w="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19</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Ⅵ</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실험 및 평가</w:t>
            </w:r>
          </w:p>
        </w:tc>
        <w:tc>
          <w:tcPr>
            <w:tcW w:type="dxa" w:w="4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4개 벤치마크, 소거 실험, Case Study 5+2개, 실용적 기여 정량화</w:t>
            </w:r>
          </w:p>
        </w:tc>
        <w:tc>
          <w:tcPr>
            <w:tcW w:type="dxa" w:w="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31</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Ⅶ</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결론</w:t>
            </w:r>
          </w:p>
        </w:tc>
        <w:tc>
          <w:tcPr>
            <w:tcW w:type="dxa" w:w="4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우위 정리 3축 + 10년 로드맵 + 산학 협력</w:t>
            </w:r>
          </w:p>
        </w:tc>
        <w:tc>
          <w:tcPr>
            <w:tcW w:type="dxa" w:w="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9</w:t>
            </w:r>
          </w:p>
        </w:tc>
      </w:tr>
    </w:tbl>
    <w:p>
      <w:pPr>
        <w:spacing w:after="0" w:line="280"/>
      </w:pPr>
      <w:r>
        <w:rPr>
          <w:rFonts w:ascii="Batang" w:cs="Batang" w:eastAsia="Batang" w:hAnsi="Batang"/>
          <w:b w:val="false"/>
          <w:bCs w:val="false"/>
          <w:sz w:val="20"/>
          <w:szCs w:val="20"/>
        </w:rPr>
        <w:t xml:space="preserve"/>
      </w:r>
    </w:p>
    <w:p>
      <w:pPr>
        <w:spacing w:after="120" w:line="320"/>
        <w:ind w:firstLine="380"/>
      </w:pPr>
      <w:r>
        <w:rPr>
          <w:rFonts w:ascii="Batang" w:cs="Batang" w:eastAsia="Batang" w:hAnsi="Batang"/>
          <w:b w:val="false"/>
          <w:bCs w:val="false"/>
          <w:sz w:val="20"/>
          <w:szCs w:val="20"/>
        </w:rPr>
        <w:t xml:space="preserve">본문은 약 110페이지, 참고문헌과 ABSTRACT를 포함한 총 분량은 약 120~125페이지이다. **Ⅵ장 실험(31p)과 Ⅶ장 결론(9p)의 비중이 전체의 36%**를 차지하도록 설계되어, 본 연구의 **정량적 우위 입증**에 무게를 실었다. 이는 "서론에 힘이 실리고 결과물이 약함"이라는 일반적 박사 논문 구조의 약점을 의도적으로 보완한 구성이다.</w:t>
      </w:r>
    </w:p>
    <w:sectPr>
      <w:headerReference w:type="default" r:id="rId7"/>
      <w:footerReference w:type="default" r:id="rId8"/>
      <w:pgSz w:w="10773" w:h="14742"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tang" w:cs="Batang" w:eastAsia="Batang" w:hAnsi="Batang"/>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atang" w:cs="Batang" w:eastAsia="Batang" w:hAnsi="Batang"/>
        <w:b w:val="false"/>
        <w:bCs w:val="false"/>
        <w:color w:val="666666"/>
        <w:sz w:val="16"/>
        <w:szCs w:val="16"/>
      </w:rPr>
      <w:t xml:space="preserve">Ⅰ. 서론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560"/>
      <w:outlineLvl w:val="0"/>
    </w:pPr>
    <w:rPr>
      <w:rFonts w:ascii="Batang" w:cs="Batang" w:eastAsia="Batang" w:hAnsi="Batang"/>
      <w:b/>
      <w:bCs/>
      <w:sz w:val="28"/>
      <w:szCs w:val="28"/>
    </w:rPr>
  </w:style>
  <w:style w:type="paragraph" w:styleId="Heading2">
    <w:name w:val="Heading 2"/>
    <w:basedOn w:val="Normal"/>
    <w:next w:val="Normal"/>
    <w:qFormat/>
    <w:pPr>
      <w:spacing w:after="180" w:before="360"/>
      <w:outlineLvl w:val="1"/>
    </w:pPr>
    <w:rPr>
      <w:rFonts w:ascii="Batang" w:cs="Batang" w:eastAsia="Batang" w:hAnsi="Batang"/>
      <w:b/>
      <w:bCs/>
      <w:sz w:val="24"/>
      <w:szCs w:val="24"/>
    </w:rPr>
  </w:style>
  <w:style w:type="paragraph" w:styleId="Heading3">
    <w:name w:val="Heading 3"/>
    <w:basedOn w:val="Normal"/>
    <w:next w:val="Normal"/>
    <w:qFormat/>
    <w:pPr>
      <w:spacing w:after="140" w:before="240"/>
      <w:outlineLvl w:val="2"/>
    </w:pPr>
    <w:rPr>
      <w:rFonts w:ascii="Batang" w:cs="Batang" w:eastAsia="Batang" w:hAnsi="Batang"/>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2026-04-18T09:13:11.462Z</dcterms:created>
  <dcterms:modified xsi:type="dcterms:W3CDTF">2026-04-18T09:13:11.464Z</dcterms:modified>
</cp:coreProperties>
</file>

<file path=docProps/custom.xml><?xml version="1.0" encoding="utf-8"?>
<Properties xmlns="http://schemas.openxmlformats.org/officeDocument/2006/custom-properties" xmlns:vt="http://schemas.openxmlformats.org/officeDocument/2006/docPropsVTypes"/>
</file>