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v16</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실패의 3-층 원인 분해 + Option A/B/C 실증 (Ch.6 §7): naive transfer 실패를 세 층위로 분해 — L1 언어 장벽, L2 도메인 어휘, L3 Graph/Ontology 부재.</w:t>
      </w:r>
    </w:p>
    <w:p>
      <w:pPr>
        <w:pStyle w:val="ListBullet"/>
        <w:spacing w:lineRule="auto" w:line="360" w:after="0"/>
        <w:ind w:left="425"/>
      </w:pPr>
      <w:r>
        <w:rPr>
          <w:rFonts w:ascii="바탕" w:hAnsi="바탕" w:eastAsia="바탕"/>
          <w:b w:val="0"/>
          <w:sz w:val="21"/>
        </w:rPr>
        <w:t>Option A (영어 intent 패턴 추가): R-DWA +38%, L-DWA +49% 회복 → L1 실증 해소.</w:t>
      </w:r>
    </w:p>
    <w:p>
      <w:pPr>
        <w:pStyle w:val="ListBullet"/>
        <w:spacing w:lineRule="auto" w:line="360" w:after="0"/>
        <w:ind w:left="425"/>
      </w:pPr>
      <w:r>
        <w:rPr>
          <w:rFonts w:ascii="바탕" w:hAnsi="바탕" w:eastAsia="바탕"/>
          <w:b w:val="0"/>
          <w:sz w:val="21"/>
        </w:rPr>
        <w:t>Option B (영어 합성 대학 403 QA 구축): R-DWA F1&lt;sub&gt;strict&lt;/sub&gt; 0.663 달성 (Korean 0.529 대비 +25%), Faithfulness 0.958 → 방법론이 언어 중립적, L2 반박.</w:t>
      </w:r>
    </w:p>
    <w:p>
      <w:pPr>
        <w:pStyle w:val="ListBullet"/>
        <w:spacing w:lineRule="auto" w:line="360" w:after="0"/>
        <w:ind w:left="425"/>
      </w:pPr>
      <w:r>
        <w:rPr>
          <w:rFonts w:ascii="바탕" w:hAnsi="바탕" w:eastAsia="바탕"/>
          <w:b w:val="0"/>
          <w:sz w:val="21"/>
        </w:rPr>
        <w:t>Option C (영어 합성 L-DWA end-to-end 학습, en_seed_42 체크포인트): Korean-only intent 에서 L-DWA ≈ R-DWA (F1&lt;sub&gt;strict&lt;/sub&gt; 0.661 vs 0.663) → state 표현력이 L-DWA 가치의 상한 임을 실증. HotpotQA 에 적용 시 F1 0.149 (univ-trained 0.110 대비 +35%).</w:t>
      </w:r>
    </w:p>
    <w:p>
      <w:pPr>
        <w:pStyle w:val="ListBullet"/>
        <w:spacing w:lineRule="auto" w:line="360" w:after="0"/>
        <w:ind w:left="425"/>
      </w:pPr>
      <w:r>
        <w:rPr>
          <w:rFonts w:ascii="바탕" w:hAnsi="바탕" w:eastAsia="바탕"/>
          <w:b w:val="0"/>
          <w:sz w:val="21"/>
        </w:rPr>
        <w:t>종합: cross-domain 실패는 L-DWA 아키텍처의 한계가 아닌 데이터 alignment + state 품질 문제 이며, 다국어 intent encoder · domain-invariant state 설계가 명확한 future work 의 실증 근거 가 된다.</w:t>
      </w:r>
    </w:p>
    <w:p>
      <w:pPr>
        <w:spacing w:lineRule="auto" w:line="480" w:after="0"/>
      </w:pPr>
      <w:r>
        <w:rPr>
          <w:rFonts w:ascii="바탕" w:hAnsi="바탕" w:eastAsia="바탕"/>
          <w:b w:val="0"/>
          <w:sz w:val="21"/>
        </w:rPr>
        <w:t>정리. 본 논문의 개선 총량은 재현성 (S1) + 측정 방법론 (S2, S3) + 학습 알고리즘 (L-DWA) + 교차 도메인 원인 분해 (Option A/B/C)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pPr>
      <w:r>
        <w:rPr>
          <w:rFonts w:ascii="바탕" w:hAnsi="바탕" w:eastAsia="바탕"/>
          <w:b/>
          <w:sz w:val="24"/>
        </w:rPr>
        <w:t>6절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spacing w:lineRule="auto" w:line="360" w:after="160"/>
      </w:pPr>
      <w:r>
        <w:rPr>
          <w:rFonts w:ascii="바탕" w:hAnsi="바탕" w:eastAsia="바탕"/>
          <w:b/>
          <w:sz w:val="22"/>
        </w:rPr>
        <w:t>6.1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spacing w:lineRule="auto" w:line="360" w:after="160"/>
      </w:pPr>
      <w:r>
        <w:rPr>
          <w:rFonts w:ascii="바탕" w:hAnsi="바탕" w:eastAsia="바탕"/>
          <w:b/>
          <w:sz w:val="22"/>
        </w:rPr>
        <w:t>6.2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spacing w:lineRule="auto" w:line="360" w:after="160"/>
      </w:pPr>
      <w:r>
        <w:rPr>
          <w:rFonts w:ascii="바탕" w:hAnsi="바탕" w:eastAsia="바탕"/>
          <w:b/>
          <w:sz w:val="22"/>
        </w:rPr>
        <w:t>6.3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(F1&lt;sub&gt;strict&lt;/sub&gt; std = 0.007). 이는 RL-RAG 결과의 재현성 문제를 외부에서 검증할 수 있는 최소 조건이라 본다.</w:t>
      </w:r>
    </w:p>
    <w:p>
      <w:pPr>
        <w:spacing w:lineRule="auto" w:line="360" w:after="160"/>
      </w:pPr>
      <w:r>
        <w:rPr>
          <w:rFonts w:ascii="바탕" w:hAnsi="바탕" w:eastAsia="바탕"/>
          <w:b/>
          <w:sz w:val="22"/>
        </w:rPr>
        <w:t>6.4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spacing w:lineRule="auto" w:line="360" w:after="160"/>
      </w:pPr>
      <w:r>
        <w:rPr>
          <w:rFonts w:ascii="바탕" w:hAnsi="바탕" w:eastAsia="바탕"/>
          <w:b/>
          <w:sz w:val="22"/>
        </w:rPr>
        <w:t>6.5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2" name="Picture 2"/>
            <wp:cNvGraphicFramePr>
              <a:graphicFrameLocks noChangeAspect="1"/>
            </wp:cNvGraphicFramePr>
            <a:graphic>
              <a:graphicData uri="http://schemas.openxmlformats.org/drawingml/2006/picture">
                <pic:pic>
                  <pic:nvPicPr>
                    <pic:cNvPr id="0" name="fig5_1_actor_critic.png"/>
                    <pic:cNvPicPr/>
                  </pic:nvPicPr>
                  <pic:blipFill>
                    <a:blip r:embed="rId10"/>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3" name="Picture 3"/>
            <wp:cNvGraphicFramePr>
              <a:graphicFrameLocks noChangeAspect="1"/>
            </wp:cNvGraphicFramePr>
            <a:graphic>
              <a:graphicData uri="http://schemas.openxmlformats.org/drawingml/2006/picture">
                <pic:pic>
                  <pic:nvPicPr>
                    <pic:cNvPr id="0" name="fig5_2_ppo_convergence.png"/>
                    <pic:cNvPicPr/>
                  </pic:nvPicPr>
                  <pic:blipFill>
                    <a:blip r:embed="rId11"/>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2"/>
        </w:rPr>
        <w:t>3.6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spacing w:lineRule="auto" w:line="360" w:after="160"/>
      </w:pPr>
      <w:r>
        <w:rPr>
          <w:rFonts w:ascii="바탕" w:hAnsi="바탕" w:eastAsia="바탕"/>
          <w:b/>
          <w:sz w:val="22"/>
        </w:rPr>
        <w:t>3.7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6_4_lambda_sensitivity.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5" name="Picture 5"/>
            <wp:cNvGraphicFramePr>
              <a:graphicFrameLocks noChangeAspect="1"/>
            </wp:cNvGraphicFramePr>
            <a:graphic>
              <a:graphicData uri="http://schemas.openxmlformats.org/drawingml/2006/picture">
                <pic:pic>
                  <pic:nvPicPr>
                    <pic:cNvPr id="0" name="fig6_1_prompt_delta.png"/>
                    <pic:cNvPicPr/>
                  </pic:nvPicPr>
                  <pic:blipFill>
                    <a:blip r:embed="rId13"/>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6" name="Picture 6"/>
            <wp:cNvGraphicFramePr>
              <a:graphicFrameLocks noChangeAspect="1"/>
            </wp:cNvGraphicFramePr>
            <a:graphic>
              <a:graphicData uri="http://schemas.openxmlformats.org/drawingml/2006/picture">
                <pic:pic>
                  <pic:nvPicPr>
                    <pic:cNvPr id="0" name="fig6_2_per_type.png"/>
                    <pic:cNvPicPr/>
                  </pic:nvPicPr>
                  <pic:blipFill>
                    <a:blip r:embed="rId14"/>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7" name="Picture 7"/>
            <wp:cNvGraphicFramePr>
              <a:graphicFrameLocks noChangeAspect="1"/>
            </wp:cNvGraphicFramePr>
            <a:graphic>
              <a:graphicData uri="http://schemas.openxmlformats.org/drawingml/2006/picture">
                <pic:pic>
                  <pic:nvPicPr>
                    <pic:cNvPr id="0" name="fig6_3_weight_distribution.png"/>
                    <pic:cNvPicPr/>
                  </pic:nvPicPr>
                  <pic:blipFill>
                    <a:blip r:embed="rId15"/>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spacing w:lineRule="auto" w:line="360" w:after="160"/>
      </w:pPr>
      <w:r>
        <w:rPr>
          <w:rFonts w:ascii="바탕" w:hAnsi="바탕" w:eastAsia="바탕"/>
          <w:b/>
          <w:sz w:val="22"/>
        </w:rPr>
        <w:t>7.4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F1&lt;sub&gt;strict&lt;/sub&gt;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spacing w:lineRule="auto" w:line="360" w:after="160"/>
      </w:pPr>
      <w:r>
        <w:rPr>
          <w:rFonts w:ascii="바탕" w:hAnsi="바탕" w:eastAsia="바탕"/>
          <w:b/>
          <w:sz w:val="22"/>
        </w:rPr>
        <w:t>7.5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(한국어 intent)</w:t>
            </w:r>
          </w:p>
        </w:tc>
        <w:tc>
          <w:tcPr>
            <w:tcW w:type="dxa" w:w="2097"/>
          </w:tcPr>
          <w:p>
            <w:pPr>
              <w:spacing w:lineRule="auto" w:line="276" w:after="0"/>
            </w:pPr>
            <w:r/>
            <w:r>
              <w:rPr>
                <w:rFonts w:ascii="바탕" w:hAnsi="바탕" w:eastAsia="바탕"/>
                <w:b/>
                <w:sz w:val="19"/>
              </w:rPr>
              <w:t>F1&lt;sub&gt;strict&lt;/sub&gt;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spacing w:lineRule="auto" w:line="360" w:after="160"/>
      </w:pPr>
      <w:r>
        <w:rPr>
          <w:rFonts w:ascii="바탕" w:hAnsi="바탕" w:eastAsia="바탕"/>
          <w:b/>
          <w:sz w:val="22"/>
        </w:rPr>
        <w:t>7.6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F1&lt;sub&gt;char&lt;/sub&gt;</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F1&lt;sub&gt;strict&lt;/sub&gt;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spacing w:lineRule="auto" w:line="360" w:after="160"/>
      </w:pPr>
      <w:r>
        <w:rPr>
          <w:rFonts w:ascii="바탕" w:hAnsi="바탕" w:eastAsia="바탕"/>
          <w:b/>
          <w:sz w:val="22"/>
        </w:rPr>
        <w:t>7.7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F1&lt;sub&gt;strict&lt;/sub&gt;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8" name="Picture 8"/>
            <wp:cNvGraphicFramePr>
              <a:graphicFrameLocks noChangeAspect="1"/>
            </wp:cNvGraphicFramePr>
            <a:graphic>
              <a:graphicData uri="http://schemas.openxmlformats.org/drawingml/2006/picture">
                <pic:pic>
                  <pic:nvPicPr>
                    <pic:cNvPr id="0" name="fig6_5_cross_domain_radar.png"/>
                    <pic:cNvPicPr/>
                  </pic:nvPicPr>
                  <pic:blipFill>
                    <a:blip r:embed="rId16"/>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7.8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실패의 원인 분해 + 실증 (Ch.6 §7). 대학 학습 L-DWA 의 HotpotQA/MuSiQue/PubMedQA naive transfer 실패를 세 층위로 분해하였다:</w:t>
      </w:r>
    </w:p>
    <w:p>
      <w:pPr>
        <w:pStyle w:val="ListBullet"/>
        <w:spacing w:lineRule="auto" w:line="360" w:after="0"/>
      </w:pPr>
      <w:r>
        <w:rPr>
          <w:rFonts w:ascii="바탕" w:hAnsi="바탕" w:eastAsia="바탕"/>
          <w:b w:val="0"/>
          <w:sz w:val="21"/>
        </w:rPr>
        <w:t>L1 언어 장벽: 영어 intent 패턴 추가 만으로 R-DWA +38%, L-DWA +49% 회복 (Option A 실증).</w:t>
      </w:r>
    </w:p>
    <w:p>
      <w:pPr>
        <w:pStyle w:val="ListBullet"/>
        <w:spacing w:lineRule="auto" w:line="360" w:after="0"/>
      </w:pPr>
      <w:r>
        <w:rPr>
          <w:rFonts w:ascii="바탕" w:hAnsi="바탕" w:eastAsia="바탕"/>
          <w:b w:val="0"/>
          <w:sz w:val="21"/>
        </w:rPr>
        <w:t>L2 도메인 어휘: 영어 합성 대학 벤치마크 (403 QA) 를 본 논문 인프라로 구축한 결과 R-DWA F1&lt;sub&gt;strict&lt;/sub&gt; 0.663 달성 — Korean 합성의 0.529 대비 +25%. 방법론 자체는 언어 중립적 임이 실증됨 (Option B).</w:t>
      </w:r>
    </w:p>
    <w:p>
      <w:pPr>
        <w:pStyle w:val="ListBullet"/>
        <w:spacing w:lineRule="auto" w:line="360" w:after="0"/>
      </w:pPr>
      <w:r>
        <w:rPr>
          <w:rFonts w:ascii="바탕" w:hAnsi="바탕" w:eastAsia="바탕"/>
          <w:b w:val="0"/>
          <w:sz w:val="21"/>
        </w:rPr>
        <w:t>L3 아키텍처 부재: HotpotQA 도메인-특화 재학습 trajectory 가 FLAT (Vector-only 수준) — Triple-Hybrid 의 본질적 경계 조건 (Graph·Ontology 부재 벤치마크).</w:t>
      </w:r>
    </w:p>
    <w:p>
      <w:pPr>
        <w:pStyle w:val="ListBullet"/>
        <w:spacing w:lineRule="auto" w:line="360" w:after="0"/>
      </w:pPr>
      <w:r>
        <w:rPr>
          <w:rFonts w:ascii="바탕" w:hAnsi="바탕" w:eastAsia="바탕"/>
          <w:b w:val="0"/>
          <w:sz w:val="21"/>
        </w:rPr>
        <w:t>Option C (영어 L-DWA 학습): Korean-only state 에서 L-DWA ≈ R-DWA — state 표현력이 L-DWA 가치의 상한 임을 실증.</w:t>
      </w:r>
    </w:p>
    <w:p>
      <w:pPr>
        <w:spacing w:lineRule="auto" w:line="480" w:after="0"/>
      </w:pPr>
      <w:r>
        <w:rPr>
          <w:rFonts w:ascii="바탕" w:hAnsi="바탕" w:eastAsia="바탕"/>
          <w:b w:val="0"/>
          <w:sz w:val="21"/>
        </w:rPr>
        <w:t>본 절의 실증은 초기 "naive transfer 불가" 서사를 "원인 명확 + 해결 경로 구체" 로 진화시켰다. 범용 일반화는 §4.2 의 다국어 intent encoder · domain-invariant state 설계 future work 의 실증 근거 가 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