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 Shin &amp; Moon (2025, JKSCI)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L-DWA 는 R-DWA 대비 F1&lt;sub&gt;strict&lt;/sub&gt; 0.529 → 0.562 (±0.007), F1&lt;sub&gt;substring&lt;/sub&gt; 0.482 → 0.507 (±0.009), Faithfulness 0.544 → 0.580 (±0.009) 의 일관된 개선을 보였다. 주목할 점은 학습된 Dirichlet 평균이 66-점 이산 격자에서의 per-query argmax Oracle (F1&lt;sub&gt;strict&lt;/sub&gt;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F1&lt;sub&gt;strict&lt;/sub&gt;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20215175</w:t>
      </w:r>
    </w:p>
    <w:p>
      <w:pPr>
        <w:spacing w:lineRule="auto" w:line="360" w:after="160"/>
        <w:jc w:val="center"/>
      </w:pPr>
      <w:r>
        <w:rPr>
          <w:rFonts w:ascii="바탕" w:hAnsi="바탕" w:eastAsia="바탕"/>
          <w:b/>
          <w:sz w:val="28"/>
        </w:rPr>
        <w:t>Ⅰ. 서론</w:t>
      </w:r>
    </w:p>
    <w:p>
      <w:pPr>
        <w:spacing w:lineRule="auto" w:line="360" w:after="160"/>
      </w:pPr>
      <w:r>
        <w:rPr>
          <w:rFonts w:ascii="바탕" w:hAnsi="바탕" w:eastAsia="바탕"/>
          <w:b/>
          <w:sz w:val="24"/>
        </w:rPr>
        <w:t>1.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spacing w:lineRule="auto" w:line="360" w:after="160"/>
      </w:pPr>
      <w:r>
        <w:rPr>
          <w:rFonts w:ascii="바탕" w:hAnsi="바탕" w:eastAsia="바탕"/>
          <w:b/>
          <w:sz w:val="22"/>
        </w:rPr>
        <w:t>가.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(Ch.5 §1).</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(Ch.5 §3, Ch.6 §5).</w:t>
      </w:r>
    </w:p>
    <w:p>
      <w:pPr>
        <w:spacing w:lineRule="auto" w:line="360" w:after="160"/>
      </w:pPr>
      <w:r>
        <w:rPr>
          <w:rFonts w:ascii="바탕" w:hAnsi="바탕" w:eastAsia="바탕"/>
          <w:b/>
          <w:sz w:val="22"/>
        </w:rPr>
        <w:t>나. 실증적 기여</w:t>
      </w:r>
    </w:p>
    <w:p>
      <w:pPr>
        <w:spacing w:lineRule="auto" w:line="480" w:after="0"/>
      </w:pPr>
      <w:r>
        <w:rPr>
          <w:rFonts w:ascii="바탕" w:hAnsi="바탕" w:eastAsia="바탕"/>
          <w:b w:val="0"/>
          <w:sz w:val="21"/>
        </w:rPr>
        <w:t>합성 대학 5,000 QA 벤치마크에서 측정한 핵심 수치는 다음과 같다. Corrected baseline (§3.4 참조) 조건에서 L-DWA 의 3-seed 평균 F1&lt;sub&gt;strict&lt;/sub&gt; 는 0.562 ± 0.007 로, R-DWA 의 0.529 대비 6.2% 개선되었다. 더 흥미로운 점은 L-DWA 가 66-점 이산 격자에서의 per-query argmax Oracle (0.554) 을 F1&lt;sub&gt;strict&lt;/sub&gt;, F1&lt;sub&gt;substring&lt;/sub&gt;, F1&lt;sub&gt;char&lt;/sub&gt;, Faithfulness 모든 축에서 조금씩 넘어선다는 사실이다. 연속 Dirichlet 평균이 이산 격자 바깥의 공간을 활용하고 있다는 해석이 자연스럽다 (Ch.6 §3).</w:t>
      </w:r>
    </w:p>
    <w:p>
      <w:pPr>
        <w:spacing w:lineRule="auto" w:line="480" w:after="0"/>
      </w:pPr>
      <w:r>
        <w:rPr>
          <w:rFonts w:ascii="바탕" w:hAnsi="바탕" w:eastAsia="바탕"/>
          <w:b w:val="0"/>
          <w:sz w:val="21"/>
        </w:rPr>
        <w:t>질의 유형별로 쪼개어 보면 조건부 질의(conditional query) 에서 개선 폭이 가장 크다. R-DWA 0.223 대비 L-DWA 0.304 로 36.7% 향상되며, 이 영역에서는 Oracle 마저 넘어선다 (Ch.6 §4).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(Ch.6 §7).</w:t>
      </w:r>
    </w:p>
    <w:p>
      <w:pPr>
        <w:spacing w:lineRule="auto" w:line="360" w:after="160"/>
      </w:pPr>
      <w:r>
        <w:rPr>
          <w:rFonts w:ascii="바탕" w:hAnsi="바탕" w:eastAsia="바탕"/>
          <w:b/>
          <w:sz w:val="22"/>
        </w:rPr>
        <w:t>다.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(Ch.5 §4).</w:t>
      </w:r>
    </w:p>
    <w:p>
      <w:pPr>
        <w:spacing w:lineRule="auto" w:line="360" w:after="160"/>
      </w:pPr>
      <w:r>
        <w:rPr>
          <w:rFonts w:ascii="바탕" w:hAnsi="바탕" w:eastAsia="바탕"/>
          <w:b/>
          <w:sz w:val="22"/>
        </w:rPr>
        <w:t>라.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(Ch.6 §1.4, §3.3).</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F1&lt;sub&gt;strict&lt;/sub&gt;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(Ch.6 §1.3).</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w:t>
      </w:r>
    </w:p>
    <w:p>
      <w:pPr>
        <w:spacing w:lineRule="auto" w:line="360" w:after="160"/>
      </w:pPr>
      <w:r>
        <w:rPr>
          <w:rFonts w:ascii="바탕" w:hAnsi="바탕" w:eastAsia="바탕"/>
          <w:b/>
          <w:sz w:val="24"/>
        </w:rPr>
        <w:t>4.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jc w:val="center"/>
      </w:pPr>
      <w:r>
        <w:rPr>
          <w:rFonts w:ascii="바탕" w:hAnsi="바탕" w:eastAsia="바탕"/>
          <w:b/>
          <w:sz w:val="28"/>
        </w:rPr>
        <w:t>Ⅱ. 관련 연구</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 RAG의 진화와 하이브리드 접근</w:t>
      </w:r>
    </w:p>
    <w:p>
      <w:pPr>
        <w:spacing w:lineRule="auto" w:line="360" w:after="160"/>
      </w:pPr>
      <w:r>
        <w:rPr>
          <w:rFonts w:ascii="바탕" w:hAnsi="바탕" w:eastAsia="바탕"/>
          <w:b/>
          <w:sz w:val="22"/>
        </w:rPr>
        <w:t>가.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나.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다.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 지식 그래프 및 온톨로지의 RAG 통합</w:t>
      </w:r>
    </w:p>
    <w:p>
      <w:pPr>
        <w:spacing w:lineRule="auto" w:line="360" w:after="160"/>
      </w:pPr>
      <w:r>
        <w:rPr>
          <w:rFonts w:ascii="바탕" w:hAnsi="바탕" w:eastAsia="바탕"/>
          <w:b/>
          <w:sz w:val="22"/>
        </w:rPr>
        <w:t>가.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나.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 검색·가중치 결정의 강화학습 기반 최적화</w:t>
      </w:r>
    </w:p>
    <w:p>
      <w:pPr>
        <w:spacing w:lineRule="auto" w:line="360" w:after="160"/>
      </w:pPr>
      <w:r>
        <w:rPr>
          <w:rFonts w:ascii="바탕" w:hAnsi="바탕" w:eastAsia="바탕"/>
          <w:b/>
          <w:sz w:val="22"/>
        </w:rPr>
        <w:t>가.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나.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다.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 한국어 QA 평가 및 JKSCI 2025 기준선</w:t>
      </w:r>
    </w:p>
    <w:p>
      <w:pPr>
        <w:spacing w:lineRule="auto" w:line="360" w:after="160"/>
      </w:pPr>
      <w:r>
        <w:rPr>
          <w:rFonts w:ascii="바탕" w:hAnsi="바탕" w:eastAsia="바탕"/>
          <w:b/>
          <w:sz w:val="22"/>
        </w:rPr>
        <w:t>가.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나.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pPr>
      <w:r>
        <w:rPr>
          <w:rFonts w:ascii="바탕" w:hAnsi="바탕" w:eastAsia="바탕"/>
          <w:b/>
          <w:sz w:val="24"/>
        </w:rPr>
        <w:t>6.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spacing w:lineRule="auto" w:line="360" w:after="160"/>
      </w:pPr>
      <w:r>
        <w:rPr>
          <w:rFonts w:ascii="바탕" w:hAnsi="바탕" w:eastAsia="바탕"/>
          <w:b/>
          <w:sz w:val="22"/>
        </w:rPr>
        <w:t>가.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spacing w:lineRule="auto" w:line="360" w:after="160"/>
      </w:pPr>
      <w:r>
        <w:rPr>
          <w:rFonts w:ascii="바탕" w:hAnsi="바탕" w:eastAsia="바탕"/>
          <w:b/>
          <w:sz w:val="22"/>
        </w:rPr>
        <w:t>나.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spacing w:lineRule="auto" w:line="360" w:after="160"/>
      </w:pPr>
      <w:r>
        <w:rPr>
          <w:rFonts w:ascii="바탕" w:hAnsi="바탕" w:eastAsia="바탕"/>
          <w:b/>
          <w:sz w:val="22"/>
        </w:rPr>
        <w:t>다.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(Ch.5 §4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(F1&lt;sub&gt;strict&lt;/sub&gt; std = 0.007). 이는 RL-RAG 결과의 재현성 문제를 외부에서 검증할 수 있는 최소 조건이라 본다.</w:t>
      </w:r>
    </w:p>
    <w:p>
      <w:pPr>
        <w:spacing w:lineRule="auto" w:line="360" w:after="160"/>
      </w:pPr>
      <w:r>
        <w:rPr>
          <w:rFonts w:ascii="바탕" w:hAnsi="바탕" w:eastAsia="바탕"/>
          <w:b/>
          <w:sz w:val="22"/>
        </w:rPr>
        <w:t>라.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Ch.7 §2 에서 다시 언급한다.</w:t>
      </w:r>
    </w:p>
    <w:p>
      <w:pPr>
        <w:spacing w:lineRule="auto" w:line="360" w:after="160"/>
      </w:pPr>
      <w:r>
        <w:rPr>
          <w:rFonts w:ascii="바탕" w:hAnsi="바탕" w:eastAsia="바탕"/>
          <w:b/>
          <w:sz w:val="22"/>
        </w:rPr>
        <w:t>마.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spacing w:lineRule="auto" w:line="360" w:after="160"/>
        <w:jc w:val="center"/>
      </w:pPr>
      <w:r>
        <w:rPr>
          <w:rFonts w:ascii="바탕" w:hAnsi="바탕" w:eastAsia="바탕"/>
          <w:b/>
          <w:sz w:val="28"/>
        </w:rPr>
        <w:t>Ⅲ. Triple-Hybrid RAG 아키텍처</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 세 지식 소스</w:t>
      </w:r>
    </w:p>
    <w:p>
      <w:pPr>
        <w:spacing w:lineRule="auto" w:line="360" w:after="160"/>
      </w:pPr>
      <w:r>
        <w:rPr>
          <w:rFonts w:ascii="바탕" w:hAnsi="바탕" w:eastAsia="바탕"/>
          <w:b/>
          <w:sz w:val="22"/>
        </w:rPr>
        <w:t>가.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spacing w:lineRule="auto" w:line="360" w:after="160"/>
      </w:pPr>
      <w:r>
        <w:rPr>
          <w:rFonts w:ascii="바탕" w:hAnsi="바탕" w:eastAsia="바탕"/>
          <w:b/>
          <w:sz w:val="22"/>
        </w:rPr>
        <w:t>나.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spacing w:lineRule="auto" w:line="360" w:after="160"/>
      </w:pPr>
      <w:r>
        <w:rPr>
          <w:rFonts w:ascii="바탕" w:hAnsi="바탕" w:eastAsia="바탕"/>
          <w:b/>
          <w:sz w:val="22"/>
        </w:rPr>
        <w:t>다.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spacing w:lineRule="auto" w:line="360" w:after="160"/>
      </w:pPr>
      <w:r>
        <w:rPr>
          <w:rFonts w:ascii="바탕" w:hAnsi="바탕" w:eastAsia="바탕"/>
          <w:b/>
          <w:sz w:val="24"/>
        </w:rPr>
        <w:t>3.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(s&lt;sub&gt;e&lt;/sub&gt;, s&lt;sub&gt;r&lt;/sub&gt;, s&lt;sub&gt;c&lt;/sub&gt;)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 [박스 3-1] 밀도 신호 (Density Signals)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xml:space="preserve">▸ [박스 3-2] 가중치 단순체 Δ³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Ⅳ.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 [박스 4-1] R-DWA 규칙 한 번에 돌려보기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spacing w:lineRule="auto" w:line="360" w:after="160"/>
      </w:pPr>
      <w:r>
        <w:rPr>
          <w:rFonts w:ascii="바탕" w:hAnsi="바탕" w:eastAsia="바탕"/>
          <w:b/>
          <w:sz w:val="24"/>
        </w:rPr>
        <w:t>3.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Ch.6 §3.3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Ch.6 §4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F1&lt;sub&gt;strict&lt;/sub&gt; 는 0.097 로, 같은 조건의 Vector-only 0.102 에 미치지 못한다 (Ch.6 §7.2).</w:t>
      </w:r>
    </w:p>
    <w:p>
      <w:pPr>
        <w:spacing w:lineRule="auto" w:line="360" w:after="160"/>
      </w:pPr>
      <w:r>
        <w:rPr>
          <w:rFonts w:ascii="바탕" w:hAnsi="바탕" w:eastAsia="바탕"/>
          <w:b/>
          <w:sz w:val="24"/>
        </w:rPr>
        <w:t>4.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 R-DWA의 본 논문 재측정 결과</w:t>
      </w:r>
    </w:p>
    <w:p>
      <w:pPr>
        <w:spacing w:lineRule="auto" w:line="360" w:after="160"/>
      </w:pPr>
      <w:r>
        <w:rPr>
          <w:rFonts w:ascii="바탕" w:hAnsi="바탕" w:eastAsia="바탕"/>
          <w:b/>
          <w:sz w:val="22"/>
        </w:rPr>
        <w:t>가.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나.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다.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Ⅴ.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가.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나.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다.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Ch.6 §2.3 에서 구체적으로 다룬다.</w:t>
      </w:r>
    </w:p>
    <w:p>
      <w:pPr>
        <w:spacing w:lineRule="auto" w:line="360" w:after="160"/>
      </w:pPr>
      <w:r>
        <w:rPr>
          <w:rFonts w:ascii="바탕" w:hAnsi="바탕" w:eastAsia="바탕"/>
          <w:b/>
          <w:sz w:val="22"/>
        </w:rPr>
        <w:t>라.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 [박스 5-1] MDP 튜플 (S, A, P, R, γ&lt;sub&gt;d&lt;/sub&gt;)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 Actor-Critic 네트워크</w:t>
      </w:r>
    </w:p>
    <w:p>
      <w:pPr>
        <w:spacing w:lineRule="auto" w:line="360" w:after="160"/>
      </w:pPr>
      <w:r>
        <w:rPr>
          <w:rFonts w:ascii="바탕" w:hAnsi="바탕" w:eastAsia="바탕"/>
          <w:b/>
          <w:sz w:val="22"/>
        </w:rPr>
        <w:t>가.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spacing w:lineRule="auto" w:line="360" w:after="160"/>
      </w:pPr>
      <w:r>
        <w:rPr>
          <w:rFonts w:ascii="바탕" w:hAnsi="바탕" w:eastAsia="바탕"/>
          <w:b/>
          <w:sz w:val="22"/>
        </w:rPr>
        <w:t>나.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다.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 PPO 학습 알고리즘</w:t>
      </w:r>
    </w:p>
    <w:p>
      <w:pPr>
        <w:spacing w:lineRule="auto" w:line="360" w:after="160"/>
      </w:pPr>
      <w:r>
        <w:rPr>
          <w:rFonts w:ascii="바탕" w:hAnsi="바탕" w:eastAsia="바탕"/>
          <w:b/>
          <w:sz w:val="22"/>
        </w:rPr>
        <w:t>가.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 [박스 5-2] PPO Clip 목적 함수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나.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다.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라.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마.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spacing w:lineRule="auto" w:line="360" w:after="160"/>
      </w:pPr>
      <w:r>
        <w:rPr>
          <w:rFonts w:ascii="바탕" w:hAnsi="바탕" w:eastAsia="바탕"/>
          <w:b/>
          <w:sz w:val="22"/>
        </w:rPr>
        <w:t>바.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spacing w:lineRule="auto" w:line="360" w:after="160"/>
      </w:pPr>
      <w:r>
        <w:rPr>
          <w:rFonts w:ascii="바탕" w:hAnsi="바탕" w:eastAsia="바탕"/>
          <w:b/>
          <w:sz w:val="22"/>
        </w:rPr>
        <w:t>사.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spacing w:lineRule="auto" w:line="360" w:after="160"/>
      </w:pPr>
      <w:r>
        <w:rPr>
          <w:rFonts w:ascii="바탕" w:hAnsi="바탕" w:eastAsia="바탕"/>
          <w:b/>
          <w:sz w:val="24"/>
        </w:rPr>
        <w:t>4. 오프라인 보상 캐시</w:t>
      </w:r>
    </w:p>
    <w:p>
      <w:pPr>
        <w:spacing w:lineRule="auto" w:line="360" w:after="160"/>
      </w:pPr>
      <w:r>
        <w:rPr>
          <w:rFonts w:ascii="바탕" w:hAnsi="바탕" w:eastAsia="바탕"/>
          <w:b/>
          <w:sz w:val="22"/>
        </w:rPr>
        <w:t>가.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spacing w:lineRule="auto" w:line="360" w:after="160"/>
      </w:pPr>
      <w:r>
        <w:rPr>
          <w:rFonts w:ascii="바탕" w:hAnsi="바탕" w:eastAsia="바탕"/>
          <w:b/>
          <w:sz w:val="22"/>
        </w:rPr>
        <w:t>나.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spacing w:lineRule="auto" w:line="360" w:after="160"/>
      </w:pPr>
      <w:r>
        <w:rPr>
          <w:rFonts w:ascii="바탕" w:hAnsi="바탕" w:eastAsia="바탕"/>
          <w:b/>
          <w:sz w:val="22"/>
        </w:rPr>
        <w:t>다.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spacing w:lineRule="auto" w:line="360" w:after="160"/>
      </w:pPr>
      <w:r>
        <w:rPr>
          <w:rFonts w:ascii="바탕" w:hAnsi="바탕" w:eastAsia="바탕"/>
          <w:b/>
          <w:sz w:val="22"/>
        </w:rPr>
        <w:t>라.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spacing w:lineRule="auto" w:line="360" w:after="160"/>
      </w:pPr>
      <w:r>
        <w:rPr>
          <w:rFonts w:ascii="바탕" w:hAnsi="바탕" w:eastAsia="바탕"/>
          <w:b/>
          <w:sz w:val="22"/>
        </w:rPr>
        <w:t>마.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spacing w:lineRule="auto" w:line="360" w:after="160"/>
      </w:pPr>
      <w:r>
        <w:rPr>
          <w:rFonts w:ascii="바탕" w:hAnsi="바탕" w:eastAsia="바탕"/>
          <w:b/>
          <w:sz w:val="24"/>
        </w:rPr>
        <w:t>5. 학습 시스템 통합</w:t>
      </w:r>
    </w:p>
    <w:p>
      <w:pPr>
        <w:spacing w:lineRule="auto" w:line="360" w:after="160"/>
      </w:pPr>
      <w:r>
        <w:rPr>
          <w:rFonts w:ascii="바탕" w:hAnsi="바탕" w:eastAsia="바탕"/>
          <w:b/>
          <w:sz w:val="22"/>
        </w:rPr>
        <w:t>가.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나.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다.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Ⅵ. 실험 및 평가</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 실험 환경 및 평가 지표</w:t>
      </w:r>
    </w:p>
    <w:p>
      <w:pPr>
        <w:spacing w:lineRule="auto" w:line="360" w:after="160"/>
      </w:pPr>
      <w:r>
        <w:rPr>
          <w:rFonts w:ascii="바탕" w:hAnsi="바탕" w:eastAsia="바탕"/>
          <w:b/>
          <w:sz w:val="22"/>
        </w:rPr>
        <w:t>가.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나.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다.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F1&lt;sub&gt;strict&lt;/sub&gt; 는 한국어 조사 제거, 구두점 제거, NFC 정규화를 거친 뒤 토큰 집합으로 F1 을 계산하는 엄격한 주 지표이다. F1&lt;sub&gt;substring&lt;/sub&gt; 은 gold 를 쉼표로 분할한 항목들이 prediction 문자열에 부분문자열로 등장하는지를 본다. 선행 JKSCI 2025 의 loose F1 에 가장 근접하는 해석이기도 하다. F1&lt;sub&gt;char&lt;/sub&gt;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xml:space="preserve">▸ [박스 6-4] Faithfulness (2-branch)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함수는 PPO 학습의 목표 함수이며 Ch.5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spacing w:lineRule="auto" w:line="360" w:after="160"/>
      </w:pPr>
      <w:r>
        <w:rPr>
          <w:rFonts w:ascii="바탕" w:hAnsi="바탕" w:eastAsia="바탕"/>
          <w:b/>
          <w:sz w:val="22"/>
        </w:rPr>
        <w:t>라.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F1&lt;sub&gt;strict&lt;/sub&gt; 가 약 90% 상승하였다. §3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 에서 논의한다.</w:t>
      </w:r>
    </w:p>
    <w:p>
      <w:pPr>
        <w:spacing w:lineRule="auto" w:line="360" w:after="160"/>
      </w:pPr>
      <w:r>
        <w:rPr>
          <w:rFonts w:ascii="바탕" w:hAnsi="바탕" w:eastAsia="바탕"/>
          <w:b/>
          <w:sz w:val="22"/>
        </w:rPr>
        <w:t>마.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바.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 오프라인 보상 캐시</w:t>
      </w:r>
    </w:p>
    <w:p>
      <w:pPr>
        <w:spacing w:lineRule="auto" w:line="360" w:after="160"/>
      </w:pPr>
      <w:r>
        <w:rPr>
          <w:rFonts w:ascii="바탕" w:hAnsi="바탕" w:eastAsia="바탕"/>
          <w:b/>
          <w:sz w:val="22"/>
        </w:rPr>
        <w:t>가.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spacing w:lineRule="auto" w:line="360" w:after="160"/>
      </w:pPr>
      <w:r>
        <w:rPr>
          <w:rFonts w:ascii="바탕" w:hAnsi="바탕" w:eastAsia="바탕"/>
          <w:b/>
          <w:sz w:val="22"/>
        </w:rPr>
        <w:t>나.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spacing w:lineRule="auto" w:line="360" w:after="160"/>
      </w:pPr>
      <w:r>
        <w:rPr>
          <w:rFonts w:ascii="바탕" w:hAnsi="바탕" w:eastAsia="바탕"/>
          <w:b/>
          <w:sz w:val="22"/>
        </w:rPr>
        <w:t>다.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spacing w:lineRule="auto" w:line="360" w:after="160"/>
      </w:pPr>
      <w:r>
        <w:rPr>
          <w:rFonts w:ascii="바탕" w:hAnsi="바탕" w:eastAsia="바탕"/>
          <w:b/>
          <w:sz w:val="24"/>
        </w:rPr>
        <w:t>3.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가.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나.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다.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라.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마.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바.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spacing w:lineRule="auto" w:line="360" w:after="160"/>
      </w:pPr>
      <w:r>
        <w:rPr>
          <w:rFonts w:ascii="바탕" w:hAnsi="바탕" w:eastAsia="바탕"/>
          <w:b/>
          <w:sz w:val="22"/>
        </w:rPr>
        <w:t>사.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 질의 유형별 세분 분석</w:t>
      </w:r>
    </w:p>
    <w:p>
      <w:pPr>
        <w:spacing w:lineRule="auto" w:line="360" w:after="160"/>
      </w:pPr>
      <w:r>
        <w:rPr>
          <w:rFonts w:ascii="바탕" w:hAnsi="바탕" w:eastAsia="바탕"/>
          <w:b/>
          <w:sz w:val="22"/>
        </w:rPr>
        <w:t>가.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나.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다.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 PPO 학습 동역학</w:t>
      </w:r>
    </w:p>
    <w:p>
      <w:pPr>
        <w:spacing w:lineRule="auto" w:line="360" w:after="160"/>
      </w:pPr>
      <w:r>
        <w:rPr>
          <w:rFonts w:ascii="바탕" w:hAnsi="바탕" w:eastAsia="바탕"/>
          <w:b/>
          <w:sz w:val="22"/>
        </w:rPr>
        <w:t>가.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나.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다.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 교차 도메인 실험</w:t>
      </w:r>
    </w:p>
    <w:p>
      <w:pPr>
        <w:spacing w:lineRule="auto" w:line="360" w:after="160"/>
      </w:pPr>
      <w:r>
        <w:rPr>
          <w:rFonts w:ascii="바탕" w:hAnsi="바탕" w:eastAsia="바탕"/>
          <w:b/>
          <w:sz w:val="22"/>
        </w:rPr>
        <w:t>가.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나. [표 6-8] 교차 도메인 결과</w:t>
      </w:r>
    </w:p>
    <w:p>
      <w:pPr>
        <w:spacing w:lineRule="auto" w:line="360" w:after="160"/>
      </w:pPr>
      <w:r>
        <w:rPr>
          <w:rFonts w:ascii="바탕" w:hAnsi="바탕" w:eastAsia="바탕"/>
          <w:b/>
          <w:sz w:val="24"/>
        </w:rPr>
        <w:t>a. 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b. 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c. 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다.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spacing w:lineRule="auto" w:line="360" w:after="160"/>
      </w:pPr>
      <w:r>
        <w:rPr>
          <w:rFonts w:ascii="바탕" w:hAnsi="바탕" w:eastAsia="바탕"/>
          <w:b/>
          <w:sz w:val="22"/>
        </w:rPr>
        <w:t>라.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F1&lt;sub&gt;strict&lt;/sub&gt;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spacing w:lineRule="auto" w:line="360" w:after="160"/>
      </w:pPr>
      <w:r>
        <w:rPr>
          <w:rFonts w:ascii="바탕" w:hAnsi="바탕" w:eastAsia="바탕"/>
          <w:b/>
          <w:sz w:val="22"/>
        </w:rPr>
        <w:t>마.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(한국어 intent)</w:t>
            </w:r>
          </w:p>
        </w:tc>
        <w:tc>
          <w:tcPr>
            <w:tcW w:type="dxa" w:w="2097"/>
          </w:tcPr>
          <w:p>
            <w:pPr>
              <w:spacing w:lineRule="auto" w:line="276" w:after="0"/>
            </w:pPr>
            <w:r/>
            <w:r>
              <w:rPr>
                <w:rFonts w:ascii="바탕" w:hAnsi="바탕" w:eastAsia="바탕"/>
                <w:b/>
                <w:sz w:val="19"/>
              </w:rPr>
              <w:t>F1&lt;sub&gt;strict&lt;/sub&gt;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spacing w:lineRule="auto" w:line="360" w:after="160"/>
      </w:pPr>
      <w:r>
        <w:rPr>
          <w:rFonts w:ascii="바탕" w:hAnsi="바탕" w:eastAsia="바탕"/>
          <w:b/>
          <w:sz w:val="22"/>
        </w:rPr>
        <w:t>바.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F1&lt;sub&gt;char&lt;/sub&gt;</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F1&lt;sub&gt;strict&lt;/sub&gt;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spacing w:lineRule="auto" w:line="360" w:after="160"/>
      </w:pPr>
      <w:r>
        <w:rPr>
          <w:rFonts w:ascii="바탕" w:hAnsi="바탕" w:eastAsia="바탕"/>
          <w:b/>
          <w:sz w:val="22"/>
        </w:rPr>
        <w:t>사.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F1&lt;sub&gt;strict&lt;/sub&gt;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spacing w:lineRule="auto" w:line="360" w:after="160"/>
      </w:pPr>
      <w:r>
        <w:rPr>
          <w:rFonts w:ascii="바탕" w:hAnsi="바탕" w:eastAsia="바탕"/>
          <w:b/>
          <w:sz w:val="22"/>
        </w:rPr>
        <w:t>아.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 도메인 어휘 차이는 영어 동일 스키마를 구축해 보면 오히려 영어 쪽에서 R-DWA 가 더 잘 작동함이 확인된다 (§7.6). 반면 그래프·온톨로지가 없는 벤치마크에서는 재학습도 효과가 없다 (§7.4). 그리고 L-DWA 가 유의미하게 작동하려면 질의를 구분해 줄 수 있는 state 가 필요하다는 점이 영어 L-DWA 실험에서 분명해졌다 (§7.7).</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 의 향후 연구 과제로 정리한다.</w:t>
      </w:r>
    </w:p>
    <w:p>
      <w:pPr>
        <w:spacing w:lineRule="auto" w:line="360" w:after="160"/>
      </w:pPr>
      <w:r>
        <w:rPr>
          <w:rFonts w:ascii="바탕" w:hAnsi="바탕" w:eastAsia="바탕"/>
          <w:b/>
          <w:sz w:val="24"/>
        </w:rPr>
        <w:t>8. 한계 및 향후 연구</w:t>
      </w:r>
    </w:p>
    <w:p>
      <w:pPr>
        <w:spacing w:lineRule="auto" w:line="360" w:after="160"/>
      </w:pPr>
      <w:r>
        <w:rPr>
          <w:rFonts w:ascii="바탕" w:hAnsi="바탕" w:eastAsia="바탕"/>
          <w:b/>
          <w:sz w:val="22"/>
        </w:rPr>
        <w:t>가.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나.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§8 정성 분석의 보충.</w:t>
      </w:r>
    </w:p>
    <w:p>
      <w:pPr>
        <w:spacing w:lineRule="auto" w:line="360" w:after="0"/>
        <w:ind w:left="567"/>
      </w:pPr>
      <w:r>
        <w:rPr>
          <w:rFonts w:ascii="바탕" w:hAnsi="바탕" w:eastAsia="바탕"/>
          <w:b w:val="0"/>
          <w:sz w:val="20"/>
        </w:rPr>
        <w:t>▸ 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F1&lt;sub&gt;strict&lt;/sub&gt;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F1&lt;sub&gt;strict&lt;/sub&gt; 0.365 는 R-DWA 0.354 대비 3.1% 차이에 그치며, 이 유형이 본 연구의 가장 약한 영역임을 보여 준다. 18차원 state 가 질의의 다단계 hop 구조를 충분히 인코딩하지 못한다는 해석이 자연스럽고, Ch.Ⅶ 는 이를 multi-turn state 나 graph-path encoder 로 확장하는 방향을 향후 과제로 적어 두었다.</w:t>
      </w:r>
    </w:p>
    <w:p>
      <w:pPr>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F1&lt;sub&gt;strict&lt;/sub&gt;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§Ⅵ.1.4 의 평가 인프라 정비가 단순한 편의 개선이 아님을 구체적으로 보여 주는 예이기도 하다.</w:t>
      </w:r>
    </w:p>
    <w:p>
      <w:pPr>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F1&lt;sub&gt;strict&lt;/sub&gt;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Ch.Ⅶ 은 retrieval 품질 개선을 후속 과제의 첫 번째 축으로 적어 두었다.</w:t>
      </w:r>
    </w:p>
    <w:p>
      <w:pPr>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Ch.6 §7.5 에서 다룬 영어 intent 패턴 추가 실험이 이 관찰의 직접적인 검증이며, §7.6–§7.7 의 영어 합성 벤치마크 실험은 언어가 아니라 state 품질이 본질이라는 점을 추가로 확인해 준다.</w:t>
      </w:r>
    </w:p>
    <w:p>
      <w:pPr>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 소속: Ch.Ⅵ §3.4 프롬프트 형식과 평가 민감도의 정성적 보완.</w:t>
      </w:r>
    </w:p>
    <w:p>
      <w:pPr>
        <w:spacing w:lineRule="auto" w:line="360" w:after="0"/>
        <w:ind w:left="567"/>
      </w:pPr>
      <w:r>
        <w:rPr>
          <w:rFonts w:ascii="바탕" w:hAnsi="바탕" w:eastAsia="바탕"/>
          <w:b w:val="0"/>
          <w:sz w:val="20"/>
        </w:rPr>
        <w:t>▸ 이 문서는 동일 질의·동일 가중치·동일 LLM 조건에서 sentence 프롬프트와 list 프롬프트가 어떤 응답과 지표 차이를 만드는지 일곱 개의 예시로 살펴본다. 형식 정렬만으로 F1&lt;sub&gt;strict&lt;/sub&gt; 가 상당 폭 상승하는 한편, 리스트 형식에서는 Faithfulness 의 2-분기 설계 덕에 환각이 보다 분명히 드러난다.</w:t>
      </w:r>
    </w:p>
    <w:p>
      <w:pPr>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Ch.Ⅶ 에서 벤치마크 정제가 향후 과제로 언급된 배경이기도 하다.</w:t>
      </w:r>
    </w:p>
    <w:p>
      <w:pPr>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F1&lt;sub&gt;strict&lt;/sub&gt; · EM · Faithfulness 모두 1.00 이다. 단일 토큰 응답이 gold 와 완전히 일치하는 케이스로, Simple 유형 (벤치마크의 40%) 에서 L-DWA 의 F1&lt;sub&gt;strict&lt;/sub&gt; 가 0.906 에 이르는 주된 이유는 이런 패턴이 반복되기 때문이다.</w:t>
      </w:r>
    </w:p>
    <w:p>
      <w:pPr>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F1&lt;sub&gt;strict&lt;/sub&gt; 는 R-DWA 대비 약 3% 의 개선에 그치며, 이것이 본 논문에서 가장 개선 폭이 작은 영역이다.</w:t>
      </w:r>
    </w:p>
    <w:p>
      <w:pPr>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F1&lt;sub&gt;strict&lt;/sub&gt;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spacing w:lineRule="auto" w:line="360" w:after="160"/>
        <w:jc w:val="center"/>
      </w:pPr>
      <w:r>
        <w:rPr>
          <w:rFonts w:ascii="바탕" w:hAnsi="바탕" w:eastAsia="바탕"/>
          <w:b/>
          <w:sz w:val="28"/>
        </w:rPr>
        <w:t>Ⅶ. 결론</w:t>
      </w:r>
    </w:p>
    <w:p>
      <w:pPr>
        <w:spacing w:lineRule="auto" w:line="360" w:after="160"/>
      </w:pPr>
      <w:r>
        <w:rPr>
          <w:rFonts w:ascii="바탕" w:hAnsi="바탕" w:eastAsia="바탕"/>
          <w:b/>
          <w:sz w:val="24"/>
        </w:rPr>
        <w:t>1.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 본 논문의 기여</w:t>
      </w:r>
    </w:p>
    <w:p>
      <w:pPr>
        <w:spacing w:lineRule="auto" w:line="360" w:after="160"/>
      </w:pPr>
      <w:r>
        <w:rPr>
          <w:rFonts w:ascii="바탕" w:hAnsi="바탕" w:eastAsia="바탕"/>
          <w:b/>
          <w:sz w:val="22"/>
        </w:rPr>
        <w:t>가.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spacing w:lineRule="auto" w:line="360" w:after="160"/>
      </w:pPr>
      <w:r>
        <w:rPr>
          <w:rFonts w:ascii="바탕" w:hAnsi="바탕" w:eastAsia="바탕"/>
          <w:b/>
          <w:sz w:val="22"/>
        </w:rPr>
        <w:t>나.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spacing w:lineRule="auto" w:line="360" w:after="160"/>
      </w:pPr>
      <w:r>
        <w:rPr>
          <w:rFonts w:ascii="바탕" w:hAnsi="바탕" w:eastAsia="바탕"/>
          <w:b/>
          <w:sz w:val="22"/>
        </w:rPr>
        <w:t>다.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spacing w:lineRule="auto" w:line="360" w:after="160"/>
      </w:pPr>
      <w:r>
        <w:rPr>
          <w:rFonts w:ascii="바탕" w:hAnsi="바탕" w:eastAsia="바탕"/>
          <w:b/>
          <w:sz w:val="22"/>
        </w:rPr>
        <w:t>라.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F1&lt;sub&gt;strict&lt;/sub&gt;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Ch.6 §7.</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F1&lt;sub&gt;strict&lt;/sub&gt; 와 F1&lt;sub&gt;substring&lt;/sub&gt;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§6.7.4 의 영어 합성 벤치마크 실험에서 동작 원리와 함께 예시되어 있다. Graph 와 Ontology 가 어느 정도 구축된 기업 내부 지식베이스 (법무·의료·금융 등) 에는 직접 적용 가능한 경로이다.</w:t>
      </w:r>
    </w:p>
    <w:p>
      <w:pPr>
        <w:spacing w:lineRule="auto" w:line="360" w:after="160"/>
      </w:pPr>
      <w:r>
        <w:rPr>
          <w:rFonts w:ascii="바탕" w:hAnsi="바탕" w:eastAsia="바탕"/>
          <w:b/>
          <w:sz w:val="24"/>
        </w:rPr>
        <w:t>4. 한계 및 향후 연구 방향</w:t>
      </w:r>
    </w:p>
    <w:p>
      <w:pPr>
        <w:spacing w:lineRule="auto" w:line="360" w:after="160"/>
      </w:pPr>
      <w:r>
        <w:rPr>
          <w:rFonts w:ascii="바탕" w:hAnsi="바탕" w:eastAsia="바탕"/>
          <w:b/>
          <w:sz w:val="22"/>
        </w:rPr>
        <w:t>가.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F1&lt;sub&gt;strict&lt;/sub&gt; 0.663 에 도달하고 L-DWA 가 이를 넘기지 못한 §6.7.7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spacing w:lineRule="auto" w:line="360" w:after="160"/>
      </w:pPr>
      <w:r>
        <w:rPr>
          <w:rFonts w:ascii="바탕" w:hAnsi="바탕" w:eastAsia="바탕"/>
          <w:b/>
          <w:sz w:val="22"/>
        </w:rPr>
        <w:t>나.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spacing w:lineRule="auto" w:line="360" w:after="160"/>
      </w:pPr>
      <w:r>
        <w:rPr>
          <w:rFonts w:ascii="바탕" w:hAnsi="바탕" w:eastAsia="바탕"/>
          <w:b/>
          <w:sz w:val="24"/>
        </w:rPr>
        <w:t>5.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spacing w:lineRule="auto" w:line="360" w:after="160"/>
      </w:pPr>
      <w:r>
        <w:rPr>
          <w:rFonts w:ascii="바탕" w:hAnsi="바탕" w:eastAsia="바탕"/>
          <w:b/>
          <w:sz w:val="24"/>
        </w:rPr>
        <w:t>6.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F1&lt;sub&gt;strict&lt;/sub&gt;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F1&lt;sub&gt;strict&lt;/sub&gt;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F1&lt;sub&gt;strict&lt;/sub&gt;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(F1&lt;sub&gt;strict&lt;/sub&gt;)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F1&lt;sub&gt;strict&lt;/sub&gt;</w:t>
            </w:r>
          </w:p>
        </w:tc>
        <w:tc>
          <w:tcPr>
            <w:tcW w:type="dxa" w:w="2097"/>
          </w:tcPr>
          <w:p>
            <w:pPr>
              <w:spacing w:lineRule="auto" w:line="276" w:after="0"/>
            </w:pPr>
            <w:r/>
            <w:r>
              <w:rPr>
                <w:rFonts w:ascii="바탕" w:hAnsi="바탕" w:eastAsia="바탕"/>
                <w:b/>
                <w:sz w:val="19"/>
              </w:rPr>
              <w:t>L-DWA F1&lt;sub&gt;strict&lt;/sub&gt;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(λ&lt;sub&gt;F1&lt;/sub&gt;, λ&lt;sub&gt;EM&lt;/sub&gt;, λ&lt;sub&gt;Faith&lt;/sub&gt;)</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F1&lt;sub&gt;strict&lt;/sub&gt;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F1&lt;sub&gt;strict&lt;/sub&gt; 0.529 → 0.562 (±0.007), F1&lt;sub&gt;substring&lt;/sub&gt; 0.482 → 0.507 (±0.009), and Faithfulness 0.544 → 0.580 (±0.009), averaged across three seeds. A more subtle observation is that the learned continuous Dirichlet mean slightly exceeds the per-query argmax Oracle defined on the 66-point discrete grid (F1&lt;sub&gt;strict&lt;/sub&gt;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F1&lt;sub&gt;strict&lt;/sub&gt;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