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제Ⅲ장 Triple-Hybrid RAG 아키텍처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제Ⅲ장 Triple-Hybrid RAG 아키텍처 (v5 재작성)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Triple-Hybrid RAG 프레임워크의 구조와 세 지식 소스 — Vector, Graph, Ontology — 의 정의 및 통합 방식을 설명한다. Ch.4의 R-DWA와 Ch.5의 L-DWA는 모두 본 아키텍처 위에서 작동하며, 본 장은 이들이 공유하는 파이프라인의 정의이다.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전체 파이프라인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사용자 자연어 질의 q는 다음 7단계를 거쳐 답변 a로 변환된다.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(1) q</w:t>
        <w:br/>
        <w:t>(2)   → QueryAnalyzer → intent (entities, relations, constraints, density)</w:t>
        <w:br/>
        <w:t>(3)   → DWA (R-DWA or L-DWA) → (α, β, γ) ∈ Δ³</w:t>
        <w:br/>
        <w:t>(4)   → {VectorStore.search, GraphStore.search, OntologyStore.search} → (V, G, O)</w:t>
        <w:br/>
        <w:t>(5)   → merge_contexts(V, G, O; α, β, γ) → context string</w:t>
        <w:br/>
        <w:t>(6)   → LLM(prompt + context) → answer a</w:t>
        <w:br/>
        <w:t>(7) a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단계 (2)~(3)은 가중치 결정 이며, 본 논문의 연구 대상이다. 단계 (4)~(6)은 가중치에 따라 결정되는 검색-융합-생성 루프이다. LLM은 gpt-4o-mini (temperature=0.0, max_tokens=500) 으로 통일한다.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세 지식 소스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Vector 소스 (α)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문서 코퍼스의 OpenAI text-embedding-3-small (1536-dim) 임베딩을 FAISS IndexFlatIP (L2 정규화 후 내적 = 코사인 유사도)로 저장하고, 질의 임베딩의 top-k (본 연구 k=3) 문서를 반환한다.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구현. src/rag/vector_store.py. Embedder를 주입 가능한 의존성으로 분리하여 단위 테스트에서는 결정적 hash embedder로 교체 (181개 test 중 8개가 vector store 대상).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합성 대학 코퍼스에서의 규모. 2,542 documents (577 프로프로필 + 60 학과 설명 + 1,505 과목 설명 + 400 프로젝트 설명). 모든 임베딩은 단일 pass 로 실행 (~10초, $0.005).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강점. 의미 유사도에 강하며, 특히 simple 질의 유형에서 안정적 recall.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약점. 구조 관계가 명시되지 않은 비정형 텍스트만 다루므로 multi-hop / 조건부 질의에서 한계.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Graph 소스 (β)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엔티티 (학과, 교수, 과목, 프로젝트) 와 관계 (소속, 담당, 협력, 참여, 개설) 를 NetworkX MultiDiGraph 로 구축하고, 질의 키워드로 시드 노드를 찾은 뒤 BFS (max_depth=3)로 관련 경로를 반환한다. 각 경로는 "A --[관계]--&gt; B" 형태의 문자열로 직렬화된다.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구현. src/rag/graph_store.py. 합성 대학 그래프의 규모: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Nodes: 2,542 (60 Department + 577 Professor + 1,505 Course + 400 Project)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Edges: ≥ 3,000 (소속 577 + 개설 ≤ 1,505 + 담당 ≥ 1,700 + 협력 1,158 + 참여 ≥ 800)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강점. 관계를 명시적으로 표현하여 multi-hop 추론 지원.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약점. 그래프 탐색은 시드 매칭에 의존하여 질의의 자연어 표현과 노드 명칭 간 불일치 시 fallback 필요.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2.3 Ontology 소스 (γ)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OWL 2 클래스 계층 (Person → Professor → FullProfessor/AdjunctProfessor) 과 속성 (hasAge, belongsTo, teaches), 수치 제약 (age ≤ threshold) 을 Owlready2 로 표현. HermiT 추론기 가용 시 결정 가능한 추론을 수행하며, 미가용 시 규칙 기반 fallback으로 동일 결과 제공.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구현. src/rag/ontology_store.py. check_constraint(entity, phrase) 가 "40세 이하", "30세 이상" 등 한국어 수치 제약을 정규식 파싱하여 대상 엔티티의 age 속성과 대조.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강점. 조건부 질의 (conditional query) 의 수치·논리 제약을 엄격히 처리.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약점. 코퍼스 초기 구축 비용이 크며, 개체 집합의 범위 변화에 대응하려면 수동 또는 자동 재구축 필요.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QueryAnalyzer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자연어 질의에서 개체(entities), 관계(relations), 제약(constraints) 를 정규식·키워드로 추출하고, 각 density 신호 s_e, s_r, s_c ∈ [0, 1] 와 질의 유형(simple/multi_hop/conditional) 을 출력.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출력 구조.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@dataclass</w:t>
        <w:br/>
        <w:t>class QueryIntent:</w:t>
        <w:br/>
        <w:t xml:space="preserve">    query_type: Literal["simple", "multi_hop", "conditional"]</w:t>
        <w:br/>
        <w:t xml:space="preserve">    entities: list[str]</w:t>
        <w:br/>
        <w:t xml:space="preserve">    relations: list[str]</w:t>
        <w:br/>
        <w:t xml:space="preserve">    constraints: list[str]</w:t>
        <w:br/>
        <w:t xml:space="preserve">    complexity_score: float</w:t>
        <w:br/>
        <w:t xml:space="preserve">    density: tuple[float, float, float]  # (s_e, s_r, s_c)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유형 분류 규칙.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constraints 비어있지 않으면 → conditional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엔티티 2개 이상 또는 관계 2개 이상 → multi_hop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그 외 → simple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향후 확장. §Ⅴ.2의 BERT multi-label intent classifier (src/intent/bert_classifier.py) 는 multi-label 확률 분포를 제공하여 L-DWA의 state (intent_logits 3-dim) 를 풍부화할 수 있다. 본 논문의 실험에서는 미학습 상태로 intent_logits=(0,0,0) 으로 둔다 (Ch.6 §5.2 참조).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Score Fusion: merge_contexts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세 소스의 결과를 가중치 비례로 슬롯 할당하여 하나의 context 문자열로 조합한다. top_k=3, budget = top_k × 3 = 9 슬롯 기준: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n_v = max(1, round(9 · α))</w:t>
        <w:br/>
        <w:t>n_g = max(1, round(9 · β))</w:t>
        <w:br/>
        <w:t>n_o = max(1, round(9 · γ))</w:t>
        <w:br/>
        <w:br/>
        <w:t>context = [</w:t>
        <w:br/>
        <w:t xml:space="preserve">    f"[Vector(α={α:.2f})]\n" + "\n".join(V[:n_v]),</w:t>
        <w:br/>
        <w:t xml:space="preserve">    f"[Graph(β={β:.2f})]\n"  + "\n".join(G[:n_g]),</w:t>
        <w:br/>
        <w:t xml:space="preserve">    f"[Ontology(γ={γ:.2f})]\n" + "\n".join(O[:n_o]),</w:t>
        <w:br/>
        <w:t>]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설계 동기. 가중치가 실제 LLM 입력의 슬롯 분배 에 반영되어야 답변 품질이 변화한다. 본 구현은 각 소스에 최소 1 슬롯을 보장 (max(1, ·)) 하되, 큰 가중치의 소스가 더 많은 슬롯을 획득하도록 비례 배분한다.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구현. src/rag/triple_hybrid_rag.py::merge_contexts (모듈 레벨 함수, Ch.6의 offline cache builder와 evaluate_rerun에서 공통 사용).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Prompt Template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모든 실험은 다음 한국어 지시 프롬프트로 통일되어, 프롬프트 튜닝이 실험 간 교란 변수로 작용하지 않도록 고정한다: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다음 컨텍스트를 기반으로 질문에 정확하게 답변하세요.</w:t>
        <w:br/>
        <w:t>컨텍스트에서 답을 찾을 수 없는 경우에만 '정보를 찾을 수 없습니다'라고 답하세요.</w:t>
        <w:br/>
        <w:t>Graph 경로 정보(A --[관계]--&gt; B)도 참고하여 관계를 추론하세요.</w:t>
        <w:br/>
        <w:t>가능한 한 구체적이고 상세하게 답변하세요.</w:t>
        <w:br/>
        <w:br/>
        <w:t>Context:</w:t>
        <w:br/>
        <w:t>{context}</w:t>
        <w:br/>
        <w:br/>
        <w:t>Question: {query}</w:t>
        <w:br/>
        <w:br/>
        <w:t>Answer: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주요 선택.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"가능한 한 구체적이고 상세하게" — 짧은 답변 회피, F1 기여 증가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"Graph 경로 정보 참고" — LLM이 관계 기호를 자연어로 재해석하도록 가이드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모호 시 "정보를 찾을 수 없습니다" — 환각 억제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Pluggable DWA Interface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 (Ch.4) 와 L-DWA (Ch.5) 는 모두 다음 추상 인터페이스를 구현한다: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class BaseDWA(ABC):</w:t>
        <w:br/>
        <w:t xml:space="preserve">    @abstractmethod</w:t>
        <w:br/>
        <w:t xml:space="preserve">    def compute(self, query: str, intent: QueryIntent) -&gt; DWAWeights:</w:t>
        <w:br/>
        <w:t xml:space="preserve">        """(α, β, γ) on the 3-simplex."""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DWAWeights 는 simplex 제약 (α + β + γ = 1, 각 ∈ [0, 1]) 을 __post_init__ 에서 검증하는 frozen dataclass. 이 추상화 덕분에 TripleHybridRAG.query() 본체는 R-DWA/L-DWA/Uniform/Vector-only 등 모든 정책에 대해 동일 하다.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아키텍처는 향후 예를 들면 "Quadruple-Hybrid" (Audio 소스 추가) 로 확장 시 BaseDWA의 출력 차원과 merge_contexts 의 슬롯 계산만 일반화하면 되도록 설계되었다. 본 논문은 3-simplex에 국한한다.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본 장 핵심 기여의 위치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Ch.3은 본 논문의 플랫폼 이다. R-DWA (Ch.4) 와 L-DWA (Ch.5) 가 이 플랫폼 위의 대체 가능한 정책이며, Ch.6에서 두 정책을 동일 플랫폼에서 공정 비교한다. 플랫폼 자체 (세 소스의 정의, merge_contexts, Prompt) 는 선행 논문과 공유되어 재현성을 보장한다.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