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A8F76">
      <w:pPr>
        <w:pStyle w:val="3"/>
        <w:spacing w:before="320" w:after="160"/>
        <w:rPr>
          <w:color w:val="auto"/>
        </w:rPr>
      </w:pPr>
      <w:r>
        <w:rPr>
          <w:rFonts w:hint="eastAsia" w:ascii="Noto Sans CJK SC" w:hAnsi="Noto Sans CJK SC" w:eastAsia="Noto Sans CJK SC"/>
          <w:b/>
          <w:color w:val="auto"/>
          <w:sz w:val="32"/>
          <w:lang w:val="en-US" w:eastAsia="zh-CN"/>
        </w:rPr>
        <w:t>1.</w:t>
      </w:r>
      <w:r>
        <w:rPr>
          <w:rFonts w:ascii="Noto Sans CJK SC" w:hAnsi="Noto Sans CJK SC" w:eastAsia="Noto Sans CJK SC"/>
          <w:b/>
          <w:color w:val="auto"/>
          <w:sz w:val="32"/>
        </w:rPr>
        <w:t>端到端流程</w:t>
      </w:r>
    </w:p>
    <w:p w14:paraId="2F3486F1">
      <w:pPr>
        <w:spacing w:after="80" w:line="264" w:lineRule="auto"/>
        <w:rPr>
          <w:color w:val="auto"/>
        </w:rPr>
      </w:pPr>
      <w:r>
        <w:rPr>
          <w:rFonts w:ascii="Noto Sans CJK SC" w:hAnsi="Noto Sans CJK SC" w:eastAsia="Noto Sans CJK SC"/>
          <w:b/>
          <w:color w:val="auto"/>
          <w:sz w:val="22"/>
        </w:rPr>
        <w:t>评估与审批阶段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7"/>
        <w:gridCol w:w="1137"/>
        <w:gridCol w:w="3492"/>
        <w:gridCol w:w="1799"/>
        <w:gridCol w:w="1695"/>
      </w:tblGrid>
      <w:tr w14:paraId="6A389910">
        <w:trPr>
          <w:cantSplit/>
          <w:jc w:val="center"/>
        </w:trPr>
        <w:tc>
          <w:tcPr>
            <w:tcW w:w="1584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C2B5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3"/>
                <w:sz w:val="21"/>
              </w:rPr>
              <w:t>阶段</w:t>
            </w:r>
          </w:p>
        </w:tc>
        <w:tc>
          <w:tcPr>
            <w:tcW w:w="1440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A535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3"/>
                <w:sz w:val="21"/>
              </w:rPr>
              <w:t>触发方</w:t>
            </w:r>
          </w:p>
        </w:tc>
        <w:tc>
          <w:tcPr>
            <w:tcW w:w="4464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9BA1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3"/>
                <w:sz w:val="21"/>
              </w:rPr>
              <w:t>系统动作</w:t>
            </w:r>
          </w:p>
        </w:tc>
        <w:tc>
          <w:tcPr>
            <w:tcW w:w="2160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994E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3"/>
                <w:sz w:val="21"/>
              </w:rPr>
              <w:t>测试计划状态</w:t>
            </w:r>
          </w:p>
        </w:tc>
        <w:tc>
          <w:tcPr>
            <w:tcW w:w="2160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FB5E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3"/>
                <w:sz w:val="21"/>
              </w:rPr>
              <w:t>是否可编辑</w:t>
            </w:r>
          </w:p>
        </w:tc>
      </w:tr>
      <w:tr w14:paraId="2277CCCB">
        <w:trPr>
          <w:cantSplit/>
          <w:jc w:val="center"/>
        </w:trPr>
        <w:tc>
          <w:tcPr>
            <w:tcW w:w="1584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5CEF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需求同步</w:t>
            </w:r>
          </w:p>
        </w:tc>
        <w:tc>
          <w:tcPr>
            <w:tcW w:w="1440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DB01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需求平台</w:t>
            </w:r>
          </w:p>
        </w:tc>
        <w:tc>
          <w:tcPr>
            <w:tcW w:w="4464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4BB3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推送需求数据；测试平台按所属系统映射 projectId，并自动创建或匹配左侧模块树节点。</w:t>
            </w:r>
          </w:p>
        </w:tc>
        <w:tc>
          <w:tcPr>
            <w:tcW w:w="2160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F295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待评估</w:t>
            </w:r>
          </w:p>
        </w:tc>
        <w:tc>
          <w:tcPr>
            <w:tcW w:w="2160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D883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auto"/>
                <w:sz w:val="20"/>
              </w:rPr>
              <w:t>否，仅可选择继续测试或提交免测</w:t>
            </w:r>
          </w:p>
        </w:tc>
      </w:tr>
      <w:tr w14:paraId="5251C822">
        <w:trPr>
          <w:cantSplit/>
          <w:jc w:val="center"/>
        </w:trPr>
        <w:tc>
          <w:tcPr>
            <w:tcW w:w="1584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5BC6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免测判断</w:t>
            </w:r>
          </w:p>
        </w:tc>
        <w:tc>
          <w:tcPr>
            <w:tcW w:w="1440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97C1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测试人员</w:t>
            </w:r>
          </w:p>
        </w:tc>
        <w:tc>
          <w:tcPr>
            <w:tcW w:w="4464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C849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选择“提交免测”并填写免测说明，确认后回传需求平台。</w:t>
            </w:r>
          </w:p>
        </w:tc>
        <w:tc>
          <w:tcPr>
            <w:tcW w:w="2160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40C8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免测已提交 / 已结束</w:t>
            </w:r>
          </w:p>
        </w:tc>
        <w:tc>
          <w:tcPr>
            <w:tcW w:w="2160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A02E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否，流程结束或等待后续确认</w:t>
            </w:r>
          </w:p>
        </w:tc>
      </w:tr>
      <w:tr w14:paraId="336DB4F5">
        <w:trPr>
          <w:cantSplit/>
          <w:jc w:val="center"/>
        </w:trPr>
        <w:tc>
          <w:tcPr>
            <w:tcW w:w="1584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70C9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继续测试</w:t>
            </w:r>
          </w:p>
        </w:tc>
        <w:tc>
          <w:tcPr>
            <w:tcW w:w="1440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6516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测试人员</w:t>
            </w:r>
          </w:p>
        </w:tc>
        <w:tc>
          <w:tcPr>
            <w:tcW w:w="4464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066A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选择“继续测试”，计划进入可编辑阶段。</w:t>
            </w:r>
          </w:p>
        </w:tc>
        <w:tc>
          <w:tcPr>
            <w:tcW w:w="2160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AE0D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继续测试</w:t>
            </w:r>
          </w:p>
        </w:tc>
        <w:tc>
          <w:tcPr>
            <w:tcW w:w="2160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C710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是，可编辑计划时间、负责人、测试范围等</w:t>
            </w:r>
          </w:p>
        </w:tc>
      </w:tr>
      <w:tr w14:paraId="55CE01DB">
        <w:trPr>
          <w:cantSplit/>
          <w:jc w:val="center"/>
        </w:trPr>
        <w:tc>
          <w:tcPr>
            <w:tcW w:w="1584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4E36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计划提交</w:t>
            </w:r>
          </w:p>
        </w:tc>
        <w:tc>
          <w:tcPr>
            <w:tcW w:w="1440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BB4A1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测试人员</w:t>
            </w:r>
          </w:p>
        </w:tc>
        <w:tc>
          <w:tcPr>
            <w:tcW w:w="4464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3485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编辑完成后点击确认/提交，测试平台回传需求平台等待审批。</w:t>
            </w:r>
          </w:p>
        </w:tc>
        <w:tc>
          <w:tcPr>
            <w:tcW w:w="2160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DCD5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已提交</w:t>
            </w:r>
          </w:p>
        </w:tc>
        <w:tc>
          <w:tcPr>
            <w:tcW w:w="2160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6D012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否，审批期间锁定</w:t>
            </w:r>
          </w:p>
        </w:tc>
      </w:tr>
      <w:tr w14:paraId="210A9CA3">
        <w:trPr>
          <w:cantSplit/>
          <w:jc w:val="center"/>
        </w:trPr>
        <w:tc>
          <w:tcPr>
            <w:tcW w:w="1584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8D8E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审批驳回</w:t>
            </w:r>
          </w:p>
        </w:tc>
        <w:tc>
          <w:tcPr>
            <w:tcW w:w="1440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1B18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需求平台</w:t>
            </w:r>
          </w:p>
        </w:tc>
        <w:tc>
          <w:tcPr>
            <w:tcW w:w="4464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697A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需求平台返回驳回结果及原因，测试平台放开编辑。</w:t>
            </w:r>
          </w:p>
        </w:tc>
        <w:tc>
          <w:tcPr>
            <w:tcW w:w="2160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2322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已驳回</w:t>
            </w:r>
          </w:p>
        </w:tc>
        <w:tc>
          <w:tcPr>
            <w:tcW w:w="2160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8D5D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是，修改后可再次提交</w:t>
            </w:r>
          </w:p>
        </w:tc>
      </w:tr>
      <w:tr w14:paraId="388C5ECF">
        <w:trPr>
          <w:cantSplit/>
          <w:jc w:val="center"/>
        </w:trPr>
        <w:tc>
          <w:tcPr>
            <w:tcW w:w="1584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28B6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审批通过</w:t>
            </w:r>
          </w:p>
        </w:tc>
        <w:tc>
          <w:tcPr>
            <w:tcW w:w="1440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859F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需求平台</w:t>
            </w:r>
          </w:p>
        </w:tc>
        <w:tc>
          <w:tcPr>
            <w:tcW w:w="4464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3913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需求平台返回通过结果，测试平台进入正式测试执行生命周期。</w:t>
            </w:r>
          </w:p>
        </w:tc>
        <w:tc>
          <w:tcPr>
            <w:tcW w:w="2160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E46D8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审批通过 -&gt; Prepare</w:t>
            </w:r>
          </w:p>
        </w:tc>
        <w:tc>
          <w:tcPr>
            <w:tcW w:w="2160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08B3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按测试计划执行规则控制</w:t>
            </w:r>
          </w:p>
        </w:tc>
      </w:tr>
    </w:tbl>
    <w:p w14:paraId="38D0D555">
      <w:pPr>
        <w:spacing w:after="120"/>
        <w:rPr>
          <w:rFonts w:hint="eastAsia" w:eastAsia="Noto Sans CJK SC"/>
          <w:lang w:eastAsia="zh-CN"/>
        </w:rPr>
      </w:pPr>
    </w:p>
    <w:p w14:paraId="1A663265">
      <w:pPr>
        <w:spacing w:after="120"/>
        <w:rPr>
          <w:rFonts w:hint="eastAsia" w:eastAsia="Noto Sans CJK SC"/>
          <w:lang w:eastAsia="zh-CN"/>
        </w:rPr>
      </w:pPr>
    </w:p>
    <w:p w14:paraId="25EFFDA8">
      <w:pPr>
        <w:spacing w:after="120"/>
        <w:rPr>
          <w:rFonts w:hint="eastAsia" w:eastAsia="Noto Sans CJK SC"/>
          <w:lang w:eastAsia="zh-CN"/>
        </w:rPr>
      </w:pPr>
    </w:p>
    <w:p w14:paraId="290995D8">
      <w:pPr>
        <w:spacing w:after="120"/>
        <w:rPr>
          <w:rFonts w:hint="eastAsia" w:eastAsia="Noto Sans CJK SC"/>
          <w:lang w:eastAsia="zh-CN"/>
        </w:rPr>
      </w:pPr>
    </w:p>
    <w:p w14:paraId="62933AA6">
      <w:pPr>
        <w:spacing w:after="120"/>
        <w:rPr>
          <w:rFonts w:hint="eastAsia" w:eastAsia="Noto Sans CJK SC"/>
          <w:lang w:eastAsia="zh-CN"/>
        </w:rPr>
      </w:pPr>
    </w:p>
    <w:p w14:paraId="49D6FAC5">
      <w:pPr>
        <w:spacing w:after="120"/>
        <w:rPr>
          <w:rFonts w:hint="eastAsia" w:eastAsia="Noto Sans CJK SC"/>
          <w:lang w:eastAsia="zh-CN"/>
        </w:rPr>
      </w:pPr>
    </w:p>
    <w:p w14:paraId="27365748">
      <w:pPr>
        <w:spacing w:after="80" w:line="264" w:lineRule="auto"/>
        <w:rPr>
          <w:color w:val="auto"/>
        </w:rPr>
      </w:pPr>
      <w:r>
        <w:rPr>
          <w:rFonts w:ascii="Noto Sans CJK SC" w:hAnsi="Noto Sans CJK SC" w:eastAsia="Noto Sans CJK SC"/>
          <w:b/>
          <w:color w:val="auto"/>
          <w:sz w:val="22"/>
        </w:rPr>
        <w:t>测试执行阶段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9"/>
        <w:gridCol w:w="1156"/>
        <w:gridCol w:w="3134"/>
        <w:gridCol w:w="2141"/>
        <w:gridCol w:w="1670"/>
      </w:tblGrid>
      <w:tr w14:paraId="2726A7CA">
        <w:trPr>
          <w:cantSplit/>
          <w:jc w:val="center"/>
        </w:trPr>
        <w:tc>
          <w:tcPr>
            <w:tcW w:w="1259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FF83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3"/>
                <w:sz w:val="21"/>
              </w:rPr>
              <w:t>阶段</w:t>
            </w:r>
          </w:p>
        </w:tc>
        <w:tc>
          <w:tcPr>
            <w:tcW w:w="1156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7EEE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3"/>
                <w:sz w:val="21"/>
              </w:rPr>
              <w:t>触发方</w:t>
            </w:r>
          </w:p>
        </w:tc>
        <w:tc>
          <w:tcPr>
            <w:tcW w:w="3134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97BA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3"/>
                <w:sz w:val="21"/>
              </w:rPr>
              <w:t>系统动作</w:t>
            </w:r>
          </w:p>
        </w:tc>
        <w:tc>
          <w:tcPr>
            <w:tcW w:w="2141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5388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3"/>
                <w:sz w:val="21"/>
              </w:rPr>
              <w:t>测试计划状态</w:t>
            </w:r>
          </w:p>
        </w:tc>
        <w:tc>
          <w:tcPr>
            <w:tcW w:w="1670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6578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3"/>
                <w:sz w:val="21"/>
              </w:rPr>
              <w:t>是否可编辑</w:t>
            </w:r>
          </w:p>
        </w:tc>
      </w:tr>
      <w:tr w14:paraId="4B4968F9">
        <w:trPr>
          <w:cantSplit/>
          <w:jc w:val="center"/>
        </w:trPr>
        <w:tc>
          <w:tcPr>
            <w:tcW w:w="1259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2EEEE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测试执行</w:t>
            </w:r>
          </w:p>
        </w:tc>
        <w:tc>
          <w:tcPr>
            <w:tcW w:w="1156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B68ED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测试人员</w:t>
            </w:r>
          </w:p>
        </w:tc>
        <w:tc>
          <w:tcPr>
            <w:tcW w:w="3134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0630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按原测试计划逻辑执行、完成、归档。</w:t>
            </w:r>
          </w:p>
        </w:tc>
        <w:tc>
          <w:tcPr>
            <w:tcW w:w="2141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E4E8B">
            <w:pPr>
              <w:spacing w:after="0" w:line="259" w:lineRule="auto"/>
              <w:rPr>
                <w:rFonts w:ascii="Noto Sans CJK SC" w:hAnsi="Noto Sans CJK SC" w:eastAsia="Noto Sans CJK SC"/>
                <w:color w:val="1F2933"/>
                <w:sz w:val="20"/>
              </w:rPr>
            </w:pPr>
            <w:r>
              <w:rPr>
                <w:rFonts w:hint="eastAsia"/>
                <w:color w:val="1F2933"/>
                <w:sz w:val="20"/>
                <w:lang w:val="en-US" w:eastAsia="zh-CN"/>
              </w:rPr>
              <w:t>未开始</w:t>
            </w:r>
            <w:r>
              <w:rPr>
                <w:rFonts w:ascii="Noto Sans CJK SC" w:hAnsi="Noto Sans CJK SC" w:eastAsia="Noto Sans CJK SC"/>
                <w:color w:val="1F2933"/>
                <w:sz w:val="20"/>
              </w:rPr>
              <w:t xml:space="preserve">Prepare / </w:t>
            </w:r>
          </w:p>
          <w:p w14:paraId="7B93DCE2">
            <w:pPr>
              <w:spacing w:after="0" w:line="259" w:lineRule="auto"/>
              <w:rPr>
                <w:rFonts w:ascii="Noto Sans CJK SC" w:hAnsi="Noto Sans CJK SC" w:eastAsia="Noto Sans CJK SC"/>
                <w:color w:val="1F2933"/>
                <w:sz w:val="20"/>
              </w:rPr>
            </w:pPr>
            <w:r>
              <w:rPr>
                <w:rFonts w:hint="eastAsia"/>
                <w:color w:val="1F2933"/>
                <w:sz w:val="20"/>
                <w:lang w:val="en-US" w:eastAsia="zh-CN"/>
              </w:rPr>
              <w:t>进行中</w:t>
            </w:r>
            <w:r>
              <w:rPr>
                <w:rFonts w:ascii="Noto Sans CJK SC" w:hAnsi="Noto Sans CJK SC" w:eastAsia="Noto Sans CJK SC"/>
                <w:color w:val="1F2933"/>
                <w:sz w:val="20"/>
              </w:rPr>
              <w:t>Underway /</w:t>
            </w:r>
            <w:r>
              <w:rPr>
                <w:rFonts w:hint="eastAsia"/>
                <w:color w:val="1F2933"/>
                <w:sz w:val="20"/>
                <w:lang w:val="en-US" w:eastAsia="zh-CN"/>
              </w:rPr>
              <w:t>已完成</w:t>
            </w:r>
            <w:r>
              <w:rPr>
                <w:rFonts w:ascii="Noto Sans CJK SC" w:hAnsi="Noto Sans CJK SC" w:eastAsia="Noto Sans CJK SC"/>
                <w:color w:val="1F2933"/>
                <w:sz w:val="20"/>
              </w:rPr>
              <w:t xml:space="preserve"> Completed / </w:t>
            </w:r>
            <w:r>
              <w:rPr>
                <w:rFonts w:hint="eastAsia"/>
                <w:color w:val="1F2933"/>
                <w:sz w:val="20"/>
                <w:lang w:val="en-US" w:eastAsia="zh-CN"/>
              </w:rPr>
              <w:t>已结束</w:t>
            </w:r>
            <w:r>
              <w:rPr>
                <w:rFonts w:ascii="Noto Sans CJK SC" w:hAnsi="Noto Sans CJK SC" w:eastAsia="Noto Sans CJK SC"/>
                <w:color w:val="1F2933"/>
                <w:sz w:val="20"/>
              </w:rPr>
              <w:t xml:space="preserve">Finished / </w:t>
            </w:r>
          </w:p>
          <w:p w14:paraId="42232314">
            <w:pPr>
              <w:spacing w:after="0" w:line="259" w:lineRule="auto"/>
              <w:rPr>
                <w:rFonts w:ascii="Noto Sans CJK SC" w:hAnsi="Noto Sans CJK SC" w:eastAsia="Noto Sans CJK SC"/>
                <w:color w:val="1F2933"/>
                <w:sz w:val="20"/>
              </w:rPr>
            </w:pPr>
            <w:r>
              <w:rPr>
                <w:rFonts w:hint="eastAsia"/>
                <w:color w:val="1F2933"/>
                <w:sz w:val="20"/>
                <w:lang w:val="en-US" w:eastAsia="zh-CN"/>
              </w:rPr>
              <w:t>已归档</w:t>
            </w:r>
            <w:r>
              <w:rPr>
                <w:rFonts w:ascii="Noto Sans CJK SC" w:hAnsi="Noto Sans CJK SC" w:eastAsia="Noto Sans CJK SC"/>
                <w:color w:val="1F2933"/>
                <w:sz w:val="20"/>
              </w:rPr>
              <w:t xml:space="preserve">Archived / </w:t>
            </w:r>
          </w:p>
          <w:p w14:paraId="377EF781">
            <w:pPr>
              <w:spacing w:after="0" w:line="259" w:lineRule="auto"/>
            </w:pPr>
            <w:r>
              <w:rPr>
                <w:rFonts w:hint="eastAsia"/>
                <w:color w:val="1F2933"/>
                <w:sz w:val="20"/>
                <w:lang w:val="en-US" w:eastAsia="zh-CN"/>
              </w:rPr>
              <w:t>已取消</w:t>
            </w:r>
            <w:r>
              <w:rPr>
                <w:rFonts w:ascii="Noto Sans CJK SC" w:hAnsi="Noto Sans CJK SC" w:eastAsia="Noto Sans CJK SC"/>
                <w:color w:val="1F2933"/>
                <w:sz w:val="20"/>
              </w:rPr>
              <w:t>Cancelled</w:t>
            </w:r>
          </w:p>
        </w:tc>
        <w:tc>
          <w:tcPr>
            <w:tcW w:w="1670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78B0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按原生命周期规则控制</w:t>
            </w:r>
          </w:p>
        </w:tc>
      </w:tr>
    </w:tbl>
    <w:p w14:paraId="4BE52C69">
      <w:pPr>
        <w:spacing w:after="120"/>
      </w:pPr>
    </w:p>
    <w:p w14:paraId="45DF1F88">
      <w:pPr>
        <w:numPr>
          <w:ilvl w:val="0"/>
          <w:numId w:val="7"/>
        </w:numPr>
        <w:spacing w:after="120" w:line="264" w:lineRule="auto"/>
        <w:rPr>
          <w:rFonts w:ascii="Noto Sans CJK SC" w:hAnsi="Noto Sans CJK SC" w:eastAsia="Noto Sans CJK SC"/>
          <w:b/>
          <w:color w:val="00B0F0"/>
          <w:sz w:val="32"/>
        </w:rPr>
      </w:pPr>
      <w:r>
        <w:rPr>
          <w:rFonts w:hint="eastAsia"/>
          <w:b/>
          <w:color w:val="00B0F0"/>
          <w:sz w:val="32"/>
          <w:lang w:val="en-US" w:eastAsia="zh-CN"/>
        </w:rPr>
        <w:t>单字段</w:t>
      </w:r>
      <w:r>
        <w:rPr>
          <w:rFonts w:ascii="Noto Sans CJK SC" w:hAnsi="Noto Sans CJK SC" w:eastAsia="Noto Sans CJK SC"/>
          <w:b/>
          <w:color w:val="00B0F0"/>
          <w:sz w:val="32"/>
        </w:rPr>
        <w:t>状态流转设计</w:t>
      </w:r>
    </w:p>
    <w:p w14:paraId="2A206A27">
      <w:pPr>
        <w:numPr>
          <w:ilvl w:val="0"/>
          <w:numId w:val="0"/>
        </w:numPr>
        <w:spacing w:after="120" w:line="264" w:lineRule="auto"/>
        <w:rPr>
          <w:rFonts w:hint="eastAsia" w:eastAsia="Noto Sans CJK SC"/>
          <w:lang w:eastAsia="zh-CN"/>
        </w:rPr>
      </w:pPr>
      <w:r>
        <w:drawing>
          <wp:inline distT="0" distB="0" distL="114300" distR="114300">
            <wp:extent cx="5938520" cy="1087755"/>
            <wp:effectExtent l="0" t="0" r="508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1DC50">
      <w:pPr>
        <w:numPr>
          <w:ilvl w:val="0"/>
          <w:numId w:val="0"/>
        </w:numPr>
        <w:spacing w:after="120" w:line="264" w:lineRule="auto"/>
        <w:rPr>
          <w:rFonts w:hint="eastAsia" w:eastAsia="Noto Sans CJK SC"/>
          <w:lang w:eastAsia="zh-CN"/>
        </w:rPr>
      </w:pPr>
      <w:r>
        <w:rPr>
          <w:rFonts w:hint="eastAsia" w:eastAsia="Noto Sans CJK SC"/>
          <w:lang w:eastAsia="zh-CN"/>
        </w:rPr>
        <w:drawing>
          <wp:inline distT="0" distB="0" distL="114300" distR="114300">
            <wp:extent cx="1163955" cy="2123440"/>
            <wp:effectExtent l="0" t="0" r="4445" b="10160"/>
            <wp:docPr id="4" name="图片 4" descr="测试计划单状态流转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测试计划单状态流转图"/>
                    <pic:cNvPicPr>
                      <a:picLocks noChangeAspect="1"/>
                    </pic:cNvPicPr>
                  </pic:nvPicPr>
                  <pic:blipFill>
                    <a:blip r:embed="rId9"/>
                    <a:srcRect b="13647"/>
                    <a:stretch>
                      <a:fillRect/>
                    </a:stretch>
                  </pic:blipFill>
                  <pic:spPr>
                    <a:xfrm>
                      <a:off x="0" y="0"/>
                      <a:ext cx="1163955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12EC6D2">
      <w:pPr>
        <w:pStyle w:val="3"/>
        <w:spacing w:before="320" w:after="160"/>
      </w:pPr>
      <w:r>
        <w:rPr>
          <w:rFonts w:hint="eastAsia" w:ascii="Noto Sans CJK SC" w:hAnsi="Noto Sans CJK SC" w:eastAsia="Noto Sans CJK SC"/>
          <w:b/>
          <w:color w:val="auto"/>
          <w:sz w:val="32"/>
          <w:lang w:val="en-US" w:eastAsia="zh-CN"/>
        </w:rPr>
        <w:t>3</w:t>
      </w:r>
      <w:r>
        <w:rPr>
          <w:rFonts w:ascii="Noto Sans CJK SC" w:hAnsi="Noto Sans CJK SC" w:eastAsia="Noto Sans CJK SC"/>
          <w:b/>
          <w:color w:val="auto"/>
          <w:sz w:val="32"/>
        </w:rPr>
        <w:t>. 需求规格说明书链接</w:t>
      </w:r>
    </w:p>
    <w:p w14:paraId="16C556FC">
      <w:pPr>
        <w:spacing w:after="120" w:line="264" w:lineRule="auto"/>
      </w:pPr>
      <w:r>
        <w:rPr>
          <w:rFonts w:ascii="Noto Sans CJK SC" w:hAnsi="Noto Sans CJK SC" w:eastAsia="Noto Sans CJK SC"/>
          <w:color w:val="1F2933"/>
          <w:sz w:val="22"/>
        </w:rPr>
        <w:t>测试计划新增字段 requirement_doc_url，用于保存需求平台同步过来的需求规格说明书链接</w:t>
      </w:r>
      <w:r>
        <w:rPr>
          <w:rFonts w:hint="eastAsia"/>
          <w:color w:val="1F2933"/>
          <w:sz w:val="22"/>
          <w:lang w:eastAsia="zh-CN"/>
        </w:rPr>
        <w:t>，</w:t>
      </w:r>
      <w:r>
        <w:rPr>
          <w:rFonts w:ascii="Noto Sans CJK SC" w:hAnsi="Noto Sans CJK SC" w:eastAsia="Noto Sans CJK SC"/>
          <w:color w:val="1F2933"/>
          <w:sz w:val="20"/>
        </w:rPr>
        <w:t>需确认链接是否可被测试平台用户直接访问</w:t>
      </w:r>
      <w:r>
        <w:rPr>
          <w:rFonts w:hint="eastAsia"/>
          <w:color w:val="1F2933"/>
          <w:sz w:val="20"/>
          <w:lang w:eastAsia="zh-CN"/>
        </w:rPr>
        <w:t>。</w:t>
      </w:r>
    </w:p>
    <w:p w14:paraId="773C7CAC">
      <w:pPr>
        <w:pStyle w:val="3"/>
        <w:spacing w:before="320" w:after="160"/>
        <w:rPr>
          <w:color w:val="auto"/>
        </w:rPr>
      </w:pPr>
      <w:r>
        <w:rPr>
          <w:rFonts w:hint="eastAsia" w:ascii="Noto Sans CJK SC" w:hAnsi="Noto Sans CJK SC" w:eastAsia="Noto Sans CJK SC"/>
          <w:b/>
          <w:color w:val="auto"/>
          <w:sz w:val="32"/>
          <w:lang w:val="en-US" w:eastAsia="zh-CN"/>
        </w:rPr>
        <w:t>4</w:t>
      </w:r>
      <w:r>
        <w:rPr>
          <w:rFonts w:ascii="Noto Sans CJK SC" w:hAnsi="Noto Sans CJK SC" w:eastAsia="Noto Sans CJK SC"/>
          <w:b/>
          <w:color w:val="auto"/>
          <w:sz w:val="32"/>
        </w:rPr>
        <w:t>. 免测信息要求</w:t>
      </w:r>
    </w:p>
    <w:p w14:paraId="27AD88B4">
      <w:pPr>
        <w:spacing w:after="120" w:line="264" w:lineRule="auto"/>
      </w:pPr>
      <w:r>
        <w:rPr>
          <w:rFonts w:ascii="Noto Sans CJK SC" w:hAnsi="Noto Sans CJK SC" w:eastAsia="Noto Sans CJK SC"/>
          <w:color w:val="1F2933"/>
          <w:sz w:val="22"/>
        </w:rPr>
        <w:t>当测试人员选择“提交免测”时，系统应弹出免测信息窗口。部分字段由同步数据自动带出，免测说明必须由测试人员填写。</w:t>
      </w:r>
    </w:p>
    <w:p w14:paraId="1E0044F0">
      <w:pPr>
        <w:spacing w:after="120"/>
      </w:pPr>
      <w:r>
        <w:drawing>
          <wp:inline distT="0" distB="0" distL="114300" distR="114300">
            <wp:extent cx="3919855" cy="2953385"/>
            <wp:effectExtent l="0" t="0" r="17145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9855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76907">
      <w:pPr>
        <w:pStyle w:val="3"/>
        <w:spacing w:before="320" w:after="160"/>
        <w:rPr>
          <w:color w:val="00B0F0"/>
        </w:rPr>
      </w:pPr>
      <w:r>
        <w:rPr>
          <w:rFonts w:hint="eastAsia" w:ascii="Noto Sans CJK SC" w:hAnsi="Noto Sans CJK SC" w:eastAsia="Noto Sans CJK SC"/>
          <w:b/>
          <w:color w:val="00B0F0"/>
          <w:sz w:val="32"/>
          <w:lang w:val="en-US" w:eastAsia="zh-CN"/>
        </w:rPr>
        <w:t>5</w:t>
      </w:r>
      <w:r>
        <w:rPr>
          <w:rFonts w:ascii="Noto Sans CJK SC" w:hAnsi="Noto Sans CJK SC" w:eastAsia="Noto Sans CJK SC"/>
          <w:b/>
          <w:color w:val="00B0F0"/>
          <w:sz w:val="32"/>
        </w:rPr>
        <w:t>. 编辑与锁定规则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673"/>
        <w:gridCol w:w="5527"/>
      </w:tblGrid>
      <w:tr w14:paraId="6EB7E98B">
        <w:trPr>
          <w:cantSplit/>
          <w:jc w:val="center"/>
        </w:trPr>
        <w:tc>
          <w:tcPr>
            <w:tcW w:w="2304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BC3F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3"/>
                <w:sz w:val="21"/>
              </w:rPr>
              <w:t>状态</w:t>
            </w:r>
          </w:p>
        </w:tc>
        <w:tc>
          <w:tcPr>
            <w:tcW w:w="1872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711F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3"/>
                <w:sz w:val="21"/>
              </w:rPr>
              <w:t>是否允许编辑</w:t>
            </w:r>
          </w:p>
        </w:tc>
        <w:tc>
          <w:tcPr>
            <w:tcW w:w="6192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59E3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3"/>
                <w:sz w:val="21"/>
              </w:rPr>
              <w:t>编辑范围</w:t>
            </w:r>
          </w:p>
        </w:tc>
      </w:tr>
      <w:tr w14:paraId="6838E0E9">
        <w:trPr>
          <w:cantSplit/>
          <w:jc w:val="center"/>
        </w:trPr>
        <w:tc>
          <w:tcPr>
            <w:tcW w:w="2304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AF9D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待评估</w:t>
            </w:r>
          </w:p>
        </w:tc>
        <w:tc>
          <w:tcPr>
            <w:tcW w:w="1872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A7A5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否</w:t>
            </w:r>
          </w:p>
        </w:tc>
        <w:tc>
          <w:tcPr>
            <w:tcW w:w="6192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2CA5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仅允许选择“继续测试”或“提交免测”。</w:t>
            </w:r>
          </w:p>
        </w:tc>
      </w:tr>
      <w:tr w14:paraId="793F78B6">
        <w:trPr>
          <w:cantSplit/>
          <w:jc w:val="center"/>
        </w:trPr>
        <w:tc>
          <w:tcPr>
            <w:tcW w:w="2304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08B1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继续测试</w:t>
            </w:r>
          </w:p>
        </w:tc>
        <w:tc>
          <w:tcPr>
            <w:tcW w:w="1872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BE2A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是</w:t>
            </w:r>
          </w:p>
        </w:tc>
        <w:tc>
          <w:tcPr>
            <w:tcW w:w="6192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CF2AB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允许编辑计划开始时间、计划结束时间、负责人、测试范围、计划说明等。</w:t>
            </w:r>
          </w:p>
        </w:tc>
      </w:tr>
      <w:tr w14:paraId="0735FD5C">
        <w:trPr>
          <w:cantSplit/>
          <w:jc w:val="center"/>
        </w:trPr>
        <w:tc>
          <w:tcPr>
            <w:tcW w:w="2304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19125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已提交</w:t>
            </w:r>
          </w:p>
        </w:tc>
        <w:tc>
          <w:tcPr>
            <w:tcW w:w="1872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AD336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否</w:t>
            </w:r>
          </w:p>
        </w:tc>
        <w:tc>
          <w:tcPr>
            <w:tcW w:w="6192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2ECD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等待需求平台审批，防止审批内容与测试平台内容不一致。</w:t>
            </w:r>
          </w:p>
        </w:tc>
      </w:tr>
      <w:tr w14:paraId="4AC2DDF6">
        <w:trPr>
          <w:cantSplit/>
          <w:jc w:val="center"/>
        </w:trPr>
        <w:tc>
          <w:tcPr>
            <w:tcW w:w="2304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6AD9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已驳回</w:t>
            </w:r>
          </w:p>
        </w:tc>
        <w:tc>
          <w:tcPr>
            <w:tcW w:w="1872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A11CA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是</w:t>
            </w:r>
          </w:p>
        </w:tc>
        <w:tc>
          <w:tcPr>
            <w:tcW w:w="6192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7C09C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允许根据驳回原因修改计划，再次提交。</w:t>
            </w:r>
          </w:p>
        </w:tc>
      </w:tr>
      <w:tr w14:paraId="62A16A43">
        <w:trPr>
          <w:cantSplit/>
          <w:jc w:val="center"/>
        </w:trPr>
        <w:tc>
          <w:tcPr>
            <w:tcW w:w="2304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6CD07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审批通过</w:t>
            </w:r>
          </w:p>
        </w:tc>
        <w:tc>
          <w:tcPr>
            <w:tcW w:w="1872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4B593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受限</w:t>
            </w:r>
          </w:p>
        </w:tc>
        <w:tc>
          <w:tcPr>
            <w:tcW w:w="6192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738E9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建议计划基础信息锁定，执行相关内容按原测试计划规则处理。</w:t>
            </w:r>
          </w:p>
        </w:tc>
      </w:tr>
      <w:tr w14:paraId="299DF38F">
        <w:trPr>
          <w:cantSplit/>
          <w:jc w:val="center"/>
        </w:trPr>
        <w:tc>
          <w:tcPr>
            <w:tcW w:w="2304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545DF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Prepare / Underway / Completed 等</w:t>
            </w:r>
          </w:p>
        </w:tc>
        <w:tc>
          <w:tcPr>
            <w:tcW w:w="1872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F616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沿用原规则</w:t>
            </w:r>
          </w:p>
        </w:tc>
        <w:tc>
          <w:tcPr>
            <w:tcW w:w="6192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AE424"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进入原 MeterSphere 测试计划生命周期。</w:t>
            </w:r>
          </w:p>
        </w:tc>
      </w:tr>
    </w:tbl>
    <w:p w14:paraId="7C5499EC">
      <w:pPr>
        <w:spacing w:after="120"/>
      </w:pPr>
    </w:p>
    <w:p w14:paraId="3D32D81E">
      <w:pPr>
        <w:spacing w:after="8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5F701F">
    <w:pPr>
      <w:pStyle w:val="24"/>
      <w:spacing w:before="0" w:after="120" w:line="264" w:lineRule="auto"/>
      <w:jc w:val="center"/>
    </w:pPr>
    <w:r>
      <w:rPr>
        <w:rFonts w:ascii="Noto Sans CJK SC" w:hAnsi="Noto Sans CJK SC" w:eastAsia="Noto Sans CJK SC"/>
        <w:color w:val="5B6770"/>
        <w:sz w:val="18"/>
      </w:rPr>
      <w:t>内部方案草案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52C7F">
    <w:pPr>
      <w:pStyle w:val="25"/>
      <w:spacing w:before="0" w:after="120" w:line="264" w:lineRule="auto"/>
    </w:pPr>
    <w:r>
      <w:rPr>
        <w:rFonts w:ascii="Noto Sans CJK SC" w:hAnsi="Noto Sans CJK SC" w:eastAsia="Noto Sans CJK SC"/>
        <w:color w:val="5B6770"/>
        <w:sz w:val="18"/>
      </w:rPr>
      <w:t>单状态工作流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FEB009"/>
    <w:multiLevelType w:val="singleLevel"/>
    <w:tmpl w:val="EEFEB009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8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7B9879"/>
    <w:rsid w:val="3FFF2E9C"/>
    <w:rsid w:val="4FFB2A9A"/>
    <w:rsid w:val="5DD80976"/>
    <w:rsid w:val="5FFE03DB"/>
    <w:rsid w:val="5FFFEC79"/>
    <w:rsid w:val="753C4CE4"/>
    <w:rsid w:val="75D65C75"/>
    <w:rsid w:val="75FF6460"/>
    <w:rsid w:val="7995ED63"/>
    <w:rsid w:val="7CE9798E"/>
    <w:rsid w:val="7DF768A5"/>
    <w:rsid w:val="7EFEC4CF"/>
    <w:rsid w:val="7FEBE3E3"/>
    <w:rsid w:val="AEEBFB97"/>
    <w:rsid w:val="BCFBB8B2"/>
    <w:rsid w:val="BDD70FB2"/>
    <w:rsid w:val="C8EA4234"/>
    <w:rsid w:val="DE5BF495"/>
    <w:rsid w:val="EC47D734"/>
    <w:rsid w:val="F5AF7951"/>
    <w:rsid w:val="F953EAE2"/>
    <w:rsid w:val="FB7F9A9A"/>
    <w:rsid w:val="FEFF3436"/>
    <w:rsid w:val="FF9F2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青春派</cp:lastModifiedBy>
  <dcterms:modified xsi:type="dcterms:W3CDTF">2026-07-03T10:41:22Z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D148CCF804DA953F9EBB456A5CD78AAF_42</vt:lpwstr>
  </property>
</Properties>
</file>