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c="http://schemas.openxmlformats.org/markup-compatibility/2006" xmlns:ns4="http://schemas.openxmlformats.org/drawingml/2006/main" xmlns:ns5="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p14">
  <w:body>
    <w:p w14:paraId="2A2FF037">
      <w:pPr>
        <w:pStyle w:val="163"/>
        <w:spacing w:beforeLines="0" w:afterLines="0"/>
        <w:rPr>
          <w:rFonts w:hint="default"/>
          <w:sz w:val="28"/>
          <w:szCs w:val="28"/>
        </w:rPr>
      </w:pPr>
      <w:bookmarkStart w:id="0" w:name="瑞众保险int测试管理系统业务需求说明书"/>
      <w:bookmarkStart w:id="1" w:name="非功能性需求"/>
      <w:bookmarkStart w:id="2" w:name="操作留痕"/>
      <w:r>
        <w:rPr>
          <w:rFonts w:hint="default"/>
          <w:sz w:val="28"/>
          <w:szCs w:val="28"/>
        </w:rPr>
        <w:t>Table of Contents</w:t>
      </w:r>
    </w:p>
    <w:p w14:paraId="179C0745">
      <w:pPr>
        <w:spacing w:beforeLines="0" w:afterLines="0"/>
        <w:rPr>
          <w:rFonts w:hint="default"/>
          <w:sz w:val="22"/>
          <w:szCs w:val="22"/>
        </w:rPr>
      </w:pPr>
      <w:r>
        <w:rPr>
          <w:rFonts w:hint="default"/>
          <w:sz w:val="22"/>
          <w:szCs w:val="22"/>
        </w:rPr>
        <w:fldChar w:fldCharType="begin"/>
      </w:r>
      <w:r>
        <w:rPr>
          <w:rFonts w:hint="default"/>
          <w:sz w:val="22"/>
          <w:szCs w:val="22"/>
        </w:rPr>
        <w:instrText xml:space="preserve">TOC \o "1-3" \h \z \u</w:instrText>
      </w:r>
      <w:r>
        <w:rPr>
          <w:rFonts w:hint="default"/>
          <w:sz w:val="22"/>
          <w:szCs w:val="22"/>
        </w:rPr>
        <w:fldChar w:fldCharType="separate"/>
      </w:r>
      <w:r>
        <w:rPr>
          <w:rFonts w:hint="default"/>
          <w:sz w:val="22"/>
          <w:szCs w:val="22"/>
        </w:rPr>
        <w:fldChar w:fldCharType="end"/>
      </w:r>
    </w:p>
    <w:p w14:paraId="74DE8265">
      <w:pPr>
        <w:spacing w:beforeLines="0" w:afterLines="0"/>
        <w:rPr>
          <w:rFonts w:hint="default"/>
          <w:sz w:val="22"/>
          <w:szCs w:val="22"/>
        </w:rPr>
      </w:pPr>
    </w:p>
    <w:p w14:paraId="1FA78805">
      <w:pPr>
        <w:spacing w:beforeLines="0" w:afterLines="0"/>
        <w:rPr>
          <w:rFonts w:hint="default"/>
          <w:sz w:val="22"/>
          <w:szCs w:val="22"/>
        </w:rPr>
      </w:pPr>
    </w:p>
    <w:p w14:paraId="2A025B76">
      <w:pPr>
        <w:spacing w:beforeLines="0" w:afterLines="0"/>
        <w:rPr>
          <w:rFonts w:hint="default"/>
          <w:sz w:val="22"/>
          <w:szCs w:val="22"/>
        </w:rPr>
      </w:pPr>
    </w:p>
    <w:p w14:paraId="461FE1DB">
      <w:pPr>
        <w:spacing w:beforeLines="0" w:afterLines="0"/>
        <w:rPr>
          <w:rFonts w:hint="default"/>
          <w:sz w:val="22"/>
          <w:szCs w:val="22"/>
        </w:rPr>
      </w:pPr>
    </w:p>
    <w:p w14:paraId="7EB280D9">
      <w:pPr>
        <w:spacing w:beforeLines="0" w:afterLines="0"/>
        <w:rPr>
          <w:rFonts w:hint="default"/>
          <w:sz w:val="22"/>
          <w:szCs w:val="22"/>
        </w:rPr>
      </w:pPr>
    </w:p>
    <w:p w14:paraId="50B9AC77">
      <w:pPr>
        <w:spacing w:beforeLines="0" w:afterLines="0"/>
        <w:rPr>
          <w:rFonts w:hint="default"/>
          <w:sz w:val="22"/>
          <w:szCs w:val="22"/>
        </w:rPr>
      </w:pPr>
    </w:p>
    <w:p w14:paraId="3E7D9137">
      <w:pPr>
        <w:spacing w:beforeLines="0" w:afterLines="0"/>
        <w:jc w:val="center"/>
        <w:rPr>
          <w:rFonts w:hint="default"/>
          <w:sz w:val="22"/>
          <w:szCs w:val="22"/>
        </w:rPr>
      </w:pPr>
      <w:r>
        <w:rPr>
          <w:rFonts w:hint="eastAsia" w:ascii="黑体" w:hAnsi="黑体" w:eastAsia="黑体"/>
          <w:b/>
          <w:sz w:val="44"/>
          <w:szCs w:val="44"/>
        </w:rPr>
        <w:t>瑞众保险INT测试管理系统</w:t>
      </w:r>
    </w:p>
    <w:p w14:paraId="3481CF6E">
      <w:pPr>
        <w:spacing w:beforeLines="0" w:afterLines="0"/>
        <w:jc w:val="center"/>
        <w:rPr>
          <w:rFonts w:hint="default"/>
          <w:sz w:val="22"/>
          <w:szCs w:val="22"/>
        </w:rPr>
      </w:pPr>
      <w:r>
        <w:rPr>
          <w:rFonts w:hint="eastAsia" w:ascii="黑体" w:hAnsi="黑体" w:eastAsia="黑体"/>
          <w:b/>
          <w:sz w:val="36"/>
          <w:szCs w:val="36"/>
        </w:rPr>
        <w:t>业务需求说明书</w:t>
      </w:r>
    </w:p>
    <w:p w14:paraId="21ED48D8">
      <w:pPr>
        <w:spacing w:beforeLines="0" w:afterLines="0"/>
        <w:rPr>
          <w:rFonts w:hint="default"/>
          <w:sz w:val="22"/>
          <w:szCs w:val="22"/>
        </w:rPr>
      </w:pPr>
    </w:p>
    <w:p w14:paraId="73C1E5C6">
      <w:pPr>
        <w:spacing w:beforeLines="0" w:afterLines="0"/>
        <w:jc w:val="center"/>
        <w:rPr>
          <w:rFonts w:hint="default"/>
          <w:sz w:val="22"/>
          <w:szCs w:val="22"/>
        </w:rPr>
      </w:pPr>
      <w:r>
        <w:rPr>
          <w:rFonts w:hint="default"/>
          <w:sz w:val="28"/>
          <w:szCs w:val="28"/>
        </w:rPr>
        <w:t>—— 基于瑞众保险INT测试管理细则第三版</w:t>
      </w:r>
    </w:p>
    <w:p w14:paraId="7BDAFEE8">
      <w:pPr>
        <w:spacing w:beforeLines="0" w:afterLines="0"/>
        <w:rPr>
          <w:rFonts w:hint="default"/>
          <w:sz w:val="22"/>
          <w:szCs w:val="22"/>
        </w:rPr>
      </w:pPr>
    </w:p>
    <w:p w14:paraId="565F6C79">
      <w:pPr>
        <w:spacing w:beforeLines="0" w:afterLines="0"/>
        <w:rPr>
          <w:rFonts w:hint="default"/>
          <w:sz w:val="22"/>
          <w:szCs w:val="22"/>
        </w:rPr>
      </w:pPr>
    </w:p>
    <w:p w14:paraId="1B64166C">
      <w:pPr>
        <w:spacing w:beforeLines="0" w:afterLines="0"/>
        <w:rPr>
          <w:rFonts w:hint="default"/>
          <w:sz w:val="22"/>
          <w:szCs w:val="22"/>
        </w:rPr>
      </w:pPr>
    </w:p>
    <w:p w14:paraId="1FA4E73F">
      <w:pPr>
        <w:spacing w:beforeLines="0" w:afterLines="0"/>
        <w:jc w:val="center"/>
        <w:rPr>
          <w:rFonts w:hint="default"/>
          <w:sz w:val="22"/>
          <w:szCs w:val="22"/>
        </w:rPr>
      </w:pPr>
      <w:r>
        <w:rPr>
          <w:rFonts w:hint="default"/>
          <w:sz w:val="24"/>
          <w:szCs w:val="24"/>
        </w:rPr>
        <w:t>文档版本：V1.0</w:t>
      </w:r>
    </w:p>
    <w:p w14:paraId="186537A9">
      <w:pPr>
        <w:spacing w:beforeLines="0" w:afterLines="0"/>
        <w:jc w:val="center"/>
        <w:rPr>
          <w:rFonts w:hint="default"/>
          <w:sz w:val="22"/>
          <w:szCs w:val="22"/>
        </w:rPr>
      </w:pPr>
      <w:r>
        <w:rPr>
          <w:rFonts w:hint="default"/>
          <w:sz w:val="24"/>
          <w:szCs w:val="24"/>
        </w:rPr>
        <w:t>编制日期：2026年7月8日</w:t>
      </w:r>
    </w:p>
    <w:p w14:paraId="0A9C5763">
      <w:pPr>
        <w:spacing w:beforeLines="0" w:afterLines="0"/>
        <w:jc w:val="center"/>
        <w:rPr>
          <w:rFonts w:hint="default"/>
          <w:sz w:val="22"/>
          <w:szCs w:val="22"/>
        </w:rPr>
      </w:pPr>
      <w:r>
        <w:rPr>
          <w:rFonts w:hint="default"/>
          <w:sz w:val="24"/>
          <w:szCs w:val="24"/>
        </w:rPr>
        <w:t>编制方：测试平台团队</w:t>
      </w:r>
    </w:p>
    <w:p w14:paraId="6A4C1AD6">
      <w:pPr>
        <w:spacing w:beforeLines="0" w:afterLines="0"/>
        <w:rPr>
          <w:rFonts w:hint="default"/>
          <w:sz w:val="22"/>
          <w:szCs w:val="22"/>
        </w:rPr>
      </w:pPr>
    </w:p>
    <w:p w14:paraId="2A25FFD6">
      <w:pPr>
        <w:spacing w:beforeLines="0" w:afterLines="0"/>
        <w:rPr>
          <w:rFonts w:hint="default"/>
          <w:sz w:val="22"/>
          <w:szCs w:val="22"/>
        </w:rPr>
      </w:pPr>
      <w:r>
        <w:rPr>
          <w:rFonts w:hint="default"/>
          <w:b/>
          <w:sz w:val="22"/>
          <w:szCs w:val="22"/>
        </w:rPr>
        <w:t>编制日期</w:t>
      </w:r>
      <w:r>
        <w:rPr>
          <w:rFonts w:hint="default"/>
          <w:sz w:val="22"/>
          <w:szCs w:val="22"/>
        </w:rPr>
        <w:t xml:space="preserve">：2026年7月8日 </w:t>
      </w:r>
      <w:r>
        <w:rPr>
          <w:rFonts w:hint="default"/>
          <w:b/>
          <w:sz w:val="22"/>
          <w:szCs w:val="22"/>
        </w:rPr>
        <w:t>编制方</w:t>
      </w:r>
      <w:r>
        <w:rPr>
          <w:rFonts w:hint="default"/>
          <w:sz w:val="22"/>
          <w:szCs w:val="22"/>
        </w:rPr>
        <w:t xml:space="preserve">：测试平台团队 </w:t>
      </w:r>
      <w:r>
        <w:rPr>
          <w:rFonts w:hint="default"/>
          <w:b/>
          <w:sz w:val="22"/>
          <w:szCs w:val="22"/>
        </w:rPr>
        <w:t>文档版本</w:t>
      </w:r>
      <w:r>
        <w:rPr>
          <w:rFonts w:hint="default"/>
          <w:sz w:val="22"/>
          <w:szCs w:val="22"/>
        </w:rPr>
        <w:t xml:space="preserve">：V1.0 </w:t>
      </w:r>
      <w:r>
        <w:rPr>
          <w:rFonts w:hint="default"/>
          <w:b/>
          <w:sz w:val="22"/>
          <w:szCs w:val="22"/>
        </w:rPr>
        <w:t>文档密级</w:t>
      </w:r>
      <w:r>
        <w:rPr>
          <w:rFonts w:hint="default"/>
          <w:sz w:val="22"/>
          <w:szCs w:val="22"/>
        </w:rPr>
        <w:t>：内部</w:t>
      </w:r>
    </w:p>
    <w:p w14:paraId="7C5F16FB">
      <w:pPr>
        <w:pStyle w:val="4"/>
        <w:spacing w:beforeLines="0" w:afterLines="0"/>
        <w:rPr>
          <w:rFonts w:hint="default"/>
          <w:sz w:val="26"/>
          <w:szCs w:val="26"/>
        </w:rPr>
      </w:pPr>
      <w:bookmarkStart w:id="3" w:name="目录"/>
      <w:r>
        <w:rPr>
          <w:rFonts w:hint="default" w:ascii="ＭＳ ゴシック"/>
          <w:sz w:val="26"/>
          <w:szCs w:val="26"/>
        </w:rPr>
        <w:t>目录</w:t>
      </w:r>
    </w:p>
    <w:bookmarkEnd w:id="3"/>
    <w:p w14:paraId="37746CF3">
      <w:pPr>
        <w:pStyle w:val="4"/>
        <w:spacing w:beforeLines="0" w:afterLines="0"/>
        <w:rPr>
          <w:rFonts w:hint="default"/>
          <w:sz w:val="26"/>
          <w:szCs w:val="26"/>
        </w:rPr>
      </w:pPr>
      <w:bookmarkStart w:id="4" w:name="引言"/>
      <w:r>
        <w:rPr>
          <w:rFonts w:hint="eastAsia" w:ascii="黑体" w:hAnsi="黑体" w:eastAsia="黑体"/>
          <w:sz w:val="26"/>
          <w:szCs w:val="26"/>
        </w:rPr>
        <w:t xml:space="preserve">1 </w:t>
      </w:r>
      <w:r>
        <w:rPr>
          <w:rFonts w:hint="default" w:ascii="ＭＳ ゴシック"/>
          <w:sz w:val="26"/>
          <w:szCs w:val="26"/>
        </w:rPr>
        <w:t>引言</w:t>
      </w:r>
    </w:p>
    <w:p w14:paraId="25B31986">
      <w:pPr>
        <w:pStyle w:val="5"/>
        <w:spacing w:beforeLines="0" w:afterLines="0"/>
        <w:rPr>
          <w:rFonts w:hint="default"/>
          <w:sz w:val="22"/>
          <w:szCs w:val="22"/>
        </w:rPr>
      </w:pPr>
      <w:bookmarkStart w:id="5" w:name="编写目的"/>
      <w:r>
        <w:rPr>
          <w:rFonts w:hint="eastAsia" w:ascii="黑体" w:hAnsi="黑体" w:eastAsia="黑体"/>
          <w:sz w:val="22"/>
          <w:szCs w:val="22"/>
        </w:rPr>
        <w:t xml:space="preserve">1.1 </w:t>
      </w:r>
      <w:r>
        <w:rPr>
          <w:rFonts w:hint="default" w:ascii="ＭＳ ゴシック"/>
          <w:sz w:val="22"/>
          <w:szCs w:val="22"/>
        </w:rPr>
        <w:t>编写目的</w:t>
      </w:r>
    </w:p>
    <w:p w14:paraId="143D3EB1">
      <w:pPr>
        <w:spacing w:beforeLines="0" w:afterLines="0"/>
        <w:rPr>
          <w:rFonts w:hint="default"/>
          <w:sz w:val="22"/>
          <w:szCs w:val="22"/>
        </w:rPr>
      </w:pPr>
      <w:r>
        <w:rPr>
          <w:rFonts w:hint="default"/>
          <w:sz w:val="22"/>
          <w:szCs w:val="22"/>
        </w:rPr>
        <w:t>本文档定义瑞众保险 INT 测试管理系统的业务需求，明确系统应具备的功能能力、业务流程和角色权限要求。文档面向业务管理人员和系统建设方，作为项目立项和验收的依据。</w:t>
      </w:r>
    </w:p>
    <w:bookmarkEnd w:id="5"/>
    <w:p w14:paraId="2C83F36A">
      <w:pPr>
        <w:pStyle w:val="5"/>
        <w:spacing w:beforeLines="0" w:afterLines="0"/>
        <w:rPr>
          <w:rFonts w:hint="default"/>
          <w:sz w:val="22"/>
          <w:szCs w:val="22"/>
        </w:rPr>
      </w:pPr>
      <w:bookmarkStart w:id="6" w:name="适用范围"/>
      <w:r>
        <w:rPr>
          <w:rFonts w:hint="eastAsia" w:ascii="黑体" w:hAnsi="黑体" w:eastAsia="黑体"/>
          <w:sz w:val="22"/>
          <w:szCs w:val="22"/>
        </w:rPr>
        <w:t xml:space="preserve">1.2 </w:t>
      </w:r>
      <w:r>
        <w:rPr>
          <w:rFonts w:hint="default" w:ascii="ＭＳ ゴシック"/>
          <w:sz w:val="22"/>
          <w:szCs w:val="22"/>
        </w:rPr>
        <w:t>适用范围</w:t>
      </w:r>
    </w:p>
    <w:p w14:paraId="784AB4C1">
      <w:pPr>
        <w:spacing w:beforeLines="0" w:afterLines="0"/>
        <w:rPr>
          <w:rFonts w:hint="default"/>
          <w:sz w:val="22"/>
          <w:szCs w:val="22"/>
        </w:rPr>
      </w:pPr>
      <w:r>
        <w:rPr>
          <w:rFonts w:hint="default"/>
          <w:sz w:val="22"/>
          <w:szCs w:val="22"/>
        </w:rPr>
        <w:t>本需求适用于瑞众保险内部所有 INT 测试管理场景，包括业务需求测试、功能迭代测试和页面优化类项目的测试全流程。</w:t>
      </w:r>
    </w:p>
    <w:bookmarkEnd w:id="6"/>
    <w:p w14:paraId="5FDE50AD">
      <w:pPr>
        <w:pStyle w:val="5"/>
        <w:spacing w:beforeLines="0" w:afterLines="0"/>
        <w:rPr>
          <w:rFonts w:hint="default"/>
          <w:sz w:val="22"/>
          <w:szCs w:val="22"/>
        </w:rPr>
      </w:pPr>
      <w:bookmarkStart w:id="7" w:name="业务背景"/>
      <w:r>
        <w:rPr>
          <w:rFonts w:hint="eastAsia" w:ascii="黑体" w:hAnsi="黑体" w:eastAsia="黑体"/>
          <w:sz w:val="22"/>
          <w:szCs w:val="22"/>
        </w:rPr>
        <w:t xml:space="preserve">1.3 </w:t>
      </w:r>
      <w:r>
        <w:rPr>
          <w:rFonts w:hint="default" w:ascii="ＭＳ ゴシック"/>
          <w:sz w:val="22"/>
          <w:szCs w:val="22"/>
        </w:rPr>
        <w:t>业务背景</w:t>
      </w:r>
    </w:p>
    <w:p w14:paraId="470805B1">
      <w:pPr>
        <w:spacing w:beforeLines="0" w:afterLines="0"/>
        <w:rPr>
          <w:rFonts w:hint="default"/>
          <w:sz w:val="22"/>
          <w:szCs w:val="22"/>
        </w:rPr>
      </w:pPr>
      <w:r>
        <w:rPr>
          <w:rFonts w:hint="default"/>
          <w:sz w:val="22"/>
          <w:szCs w:val="22"/>
        </w:rPr>
        <w:t>当前公司缺乏统一的 INT 测试管理系统，测试计划编制、用例评审、缺陷跟踪和交付闭环等环节依赖线下手工操作，存在信息孤岛、进度不可见、数据无法追溯等问题。本系统建设旨在将 INT 测试管理细则中的管理要求落地为系统功能，实现测试全流程线上化。</w:t>
      </w:r>
    </w:p>
    <w:bookmarkEnd w:id="4"/>
    <w:bookmarkEnd w:id="7"/>
    <w:p w14:paraId="73ACCE0C">
      <w:pPr>
        <w:pStyle w:val="4"/>
        <w:spacing w:beforeLines="0" w:afterLines="0"/>
        <w:rPr>
          <w:rFonts w:hint="default"/>
          <w:sz w:val="26"/>
          <w:szCs w:val="26"/>
        </w:rPr>
      </w:pPr>
      <w:bookmarkStart w:id="8" w:name="系统建设目标"/>
      <w:r>
        <w:rPr>
          <w:rFonts w:hint="eastAsia" w:ascii="黑体" w:hAnsi="黑体" w:eastAsia="黑体"/>
          <w:sz w:val="26"/>
          <w:szCs w:val="26"/>
        </w:rPr>
        <w:t xml:space="preserve">2 </w:t>
      </w:r>
      <w:r>
        <w:rPr>
          <w:rFonts w:hint="default" w:ascii="ＭＳ ゴシック"/>
          <w:sz w:val="26"/>
          <w:szCs w:val="26"/>
        </w:rPr>
        <w:t>系统建设目标</w:t>
      </w:r>
    </w:p>
    <w:p w14:paraId="73A39BE5">
      <w:pPr>
        <w:numPr>
          <w:ilvl w:val="0"/>
          <w:numId w:val="7"/>
        </w:numPr>
        <w:spacing w:beforeLines="0" w:afterLines="0"/>
        <w:rPr>
          <w:rFonts w:hint="default"/>
          <w:sz w:val="22"/>
          <w:szCs w:val="22"/>
        </w:rPr>
      </w:pPr>
      <w:r>
        <w:rPr>
          <w:rFonts w:hint="default"/>
          <w:sz w:val="22"/>
          <w:szCs w:val="22"/>
        </w:rPr>
        <w:t>实现需求端到测试端的全流程线上管理，覆盖需求研判、免测判定、计划编制、审批、用例编制与评审、测试执行、交付闭环各环节。</w:t>
      </w:r>
    </w:p>
    <w:p w14:paraId="59172F4C">
      <w:pPr>
        <w:numPr>
          <w:ilvl w:val="0"/>
          <w:numId w:val="7"/>
        </w:numPr>
        <w:spacing w:beforeLines="0" w:afterLines="0"/>
        <w:rPr>
          <w:rFonts w:hint="default"/>
          <w:sz w:val="22"/>
          <w:szCs w:val="22"/>
        </w:rPr>
      </w:pPr>
      <w:r>
        <w:rPr>
          <w:rFonts w:hint="default"/>
          <w:sz w:val="22"/>
          <w:szCs w:val="22"/>
        </w:rPr>
        <w:t>与全研发管理平台协同，实现需求同步、状态回传和审批流转。</w:t>
      </w:r>
    </w:p>
    <w:p w14:paraId="7E64C7D4">
      <w:pPr>
        <w:numPr>
          <w:ilvl w:val="0"/>
          <w:numId w:val="7"/>
        </w:numPr>
        <w:spacing w:beforeLines="0" w:afterLines="0"/>
        <w:rPr>
          <w:rFonts w:hint="default"/>
          <w:sz w:val="22"/>
          <w:szCs w:val="22"/>
        </w:rPr>
      </w:pPr>
      <w:r>
        <w:rPr>
          <w:rFonts w:hint="default"/>
          <w:sz w:val="22"/>
          <w:szCs w:val="22"/>
        </w:rPr>
        <w:t>提供测试计划生命周期管理，支持状态的自动流转和编辑权限控制。</w:t>
      </w:r>
    </w:p>
    <w:p w14:paraId="48246B75">
      <w:pPr>
        <w:numPr>
          <w:ilvl w:val="0"/>
          <w:numId w:val="7"/>
        </w:numPr>
        <w:spacing w:beforeLines="0" w:afterLines="0"/>
        <w:rPr>
          <w:rFonts w:hint="default"/>
          <w:sz w:val="22"/>
          <w:szCs w:val="22"/>
        </w:rPr>
      </w:pPr>
      <w:r>
        <w:rPr>
          <w:rFonts w:hint="default"/>
          <w:sz w:val="22"/>
          <w:szCs w:val="22"/>
        </w:rPr>
        <w:t>实现测试资料的统一归档和全程可追溯，保存期限不少于 3 年。</w:t>
      </w:r>
    </w:p>
    <w:p w14:paraId="0EDD759B">
      <w:pPr>
        <w:numPr>
          <w:ilvl w:val="0"/>
          <w:numId w:val="7"/>
        </w:numPr>
        <w:spacing w:beforeLines="0" w:afterLines="0"/>
        <w:rPr>
          <w:rFonts w:hint="default"/>
          <w:sz w:val="22"/>
          <w:szCs w:val="22"/>
        </w:rPr>
      </w:pPr>
      <w:r>
        <w:rPr>
          <w:rFonts w:hint="default"/>
          <w:sz w:val="22"/>
          <w:szCs w:val="22"/>
        </w:rPr>
        <w:t>支撑冒烟测试、分轮次测试、UAT 协同测试等多场景管理。</w:t>
      </w:r>
    </w:p>
    <w:bookmarkEnd w:id="8"/>
    <w:p w14:paraId="7E1FCC54">
      <w:pPr>
        <w:pStyle w:val="4"/>
        <w:spacing w:beforeLines="0" w:afterLines="0"/>
        <w:rPr>
          <w:rFonts w:hint="default"/>
          <w:sz w:val="26"/>
          <w:szCs w:val="26"/>
        </w:rPr>
      </w:pPr>
      <w:bookmarkStart w:id="9" w:name="业务角色定义"/>
      <w:r>
        <w:rPr>
          <w:rFonts w:hint="eastAsia" w:ascii="黑体" w:hAnsi="黑体" w:eastAsia="黑体"/>
          <w:sz w:val="26"/>
          <w:szCs w:val="26"/>
        </w:rPr>
        <w:t xml:space="preserve">3 </w:t>
      </w:r>
      <w:r>
        <w:rPr>
          <w:rFonts w:hint="default" w:ascii="ＭＳ ゴシック"/>
          <w:sz w:val="26"/>
          <w:szCs w:val="26"/>
        </w:rPr>
        <w:t>业务角色定义</w:t>
      </w:r>
    </w:p>
    <w:tbl>
      <w:tblPr>
        <w:tblStyle w:val="32"/>
        <w:tblW w:w="5000" w:type="pct"/>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3321"/>
        <w:gridCol w:w="5535"/>
      </w:tblGrid>
      <w:tr w14:paraId="4746DC80">
        <w:trPr>
          <w:wBefore w:w="0" w:type="dxa"/>
          <w:wAfter w:w="0" w:type="dxa"/>
          <w:tblHeader/>
        </w:trPr>
        <w:tc>
          <w:tcPr>
            <w:tcW w:w="0" w:type="auto"/>
            <w:tcBorders>
              <w:top w:val="single" w:color="A6A6A6" w:sz="4" w:space="0"/>
              <w:left w:val="single" w:color="A6A6A6" w:sz="4" w:space="0"/>
              <w:bottom w:val="single" w:color="A6A6A6" w:sz="4" w:space="0"/>
              <w:right w:val="single" w:color="A6A6A6" w:sz="4" w:space="0"/>
              <w:tl2br w:val="nil"/>
              <w:tr2bl w:val="nil"/>
            </w:tcBorders>
            <w:shd w:val="clear" w:color="auto" w:fill="EDEDED"/>
            <w:noWrap w:val="0"/>
            <w:vAlign w:val="top"/>
          </w:tcPr>
          <w:p w14:paraId="568059A3">
            <w:pPr>
              <w:spacing w:beforeLines="0" w:afterLines="0"/>
              <w:rPr>
                <w:rFonts w:hint="default"/>
                <w:sz w:val="22"/>
                <w:szCs w:val="22"/>
              </w:rPr>
            </w:pPr>
            <w:r>
              <w:rPr>
                <w:rFonts w:hint="default"/>
                <w:sz w:val="22"/>
                <w:szCs w:val="22"/>
              </w:rPr>
              <w:t>角色</w:t>
            </w:r>
          </w:p>
        </w:tc>
        <w:tc>
          <w:tcPr>
            <w:tcW w:w="0" w:type="auto"/>
            <w:tcBorders>
              <w:top w:val="single" w:color="A6A6A6" w:sz="4" w:space="0"/>
              <w:left w:val="single" w:color="A6A6A6" w:sz="4" w:space="0"/>
              <w:bottom w:val="single" w:color="A6A6A6" w:sz="4" w:space="0"/>
              <w:right w:val="single" w:color="A6A6A6" w:sz="4" w:space="0"/>
              <w:tl2br w:val="nil"/>
              <w:tr2bl w:val="nil"/>
            </w:tcBorders>
            <w:shd w:val="clear" w:color="auto" w:fill="EDEDED"/>
            <w:noWrap w:val="0"/>
            <w:vAlign w:val="top"/>
          </w:tcPr>
          <w:p w14:paraId="0D2DA490">
            <w:pPr>
              <w:spacing w:beforeLines="0" w:afterLines="0"/>
              <w:rPr>
                <w:rFonts w:hint="default"/>
                <w:sz w:val="22"/>
                <w:szCs w:val="22"/>
              </w:rPr>
            </w:pPr>
            <w:r>
              <w:rPr>
                <w:rFonts w:hint="default"/>
                <w:sz w:val="22"/>
                <w:szCs w:val="22"/>
              </w:rPr>
              <w:t>职责概述</w:t>
            </w:r>
          </w:p>
        </w:tc>
      </w:tr>
      <w:tr w14:paraId="5F32C735">
        <w:trPr>
          <w:wBefore w:w="0" w:type="dxa"/>
          <w:wAfter w:w="0" w:type="dxa"/>
        </w:trPr>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07B8F6A3">
            <w:pPr>
              <w:spacing w:beforeLines="0" w:afterLines="0"/>
              <w:rPr>
                <w:rFonts w:hint="default"/>
                <w:sz w:val="22"/>
                <w:szCs w:val="22"/>
              </w:rPr>
            </w:pPr>
            <w:r>
              <w:rPr>
                <w:rFonts w:hint="default"/>
                <w:b/>
                <w:sz w:val="22"/>
                <w:szCs w:val="22"/>
              </w:rPr>
              <w:t>测试团队负责人</w:t>
            </w:r>
          </w:p>
        </w:tc>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1677E574">
            <w:pPr>
              <w:spacing w:beforeLines="0" w:afterLines="0"/>
              <w:rPr>
                <w:rFonts w:hint="default"/>
                <w:sz w:val="22"/>
                <w:szCs w:val="22"/>
              </w:rPr>
            </w:pPr>
            <w:r>
              <w:rPr>
                <w:rFonts w:hint="default"/>
                <w:sz w:val="22"/>
                <w:szCs w:val="22"/>
              </w:rPr>
              <w:t>负责需求研判、免测判定、测试计划编制、用例评审组织和测试总结</w:t>
            </w:r>
          </w:p>
        </w:tc>
      </w:tr>
      <w:tr w14:paraId="50EF662A">
        <w:trPr>
          <w:wBefore w:w="0" w:type="dxa"/>
          <w:wAfter w:w="0" w:type="dxa"/>
        </w:trPr>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36B47BC3">
            <w:pPr>
              <w:spacing w:beforeLines="0" w:afterLines="0"/>
              <w:rPr>
                <w:rFonts w:hint="default"/>
                <w:sz w:val="22"/>
                <w:szCs w:val="22"/>
              </w:rPr>
            </w:pPr>
            <w:r>
              <w:rPr>
                <w:rFonts w:hint="default"/>
                <w:b/>
                <w:sz w:val="22"/>
                <w:szCs w:val="22"/>
              </w:rPr>
              <w:t>测试总负责人</w:t>
            </w:r>
          </w:p>
        </w:tc>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05068F43">
            <w:pPr>
              <w:spacing w:beforeLines="0" w:afterLines="0"/>
              <w:rPr>
                <w:rFonts w:hint="default"/>
                <w:sz w:val="22"/>
                <w:szCs w:val="22"/>
              </w:rPr>
            </w:pPr>
            <w:r>
              <w:rPr>
                <w:rFonts w:hint="default"/>
                <w:sz w:val="22"/>
                <w:szCs w:val="22"/>
              </w:rPr>
              <w:t>负责测试计划审批、总体质量把控和最终核验</w:t>
            </w:r>
          </w:p>
        </w:tc>
      </w:tr>
      <w:tr w14:paraId="01212601">
        <w:trPr>
          <w:wBefore w:w="0" w:type="dxa"/>
          <w:wAfter w:w="0" w:type="dxa"/>
        </w:trPr>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1A06A27F">
            <w:pPr>
              <w:spacing w:beforeLines="0" w:afterLines="0"/>
              <w:rPr>
                <w:rFonts w:hint="default"/>
                <w:sz w:val="22"/>
                <w:szCs w:val="22"/>
              </w:rPr>
            </w:pPr>
            <w:r>
              <w:rPr>
                <w:rFonts w:hint="default"/>
                <w:b/>
                <w:sz w:val="22"/>
                <w:szCs w:val="22"/>
              </w:rPr>
              <w:t>测试工程师</w:t>
            </w:r>
          </w:p>
        </w:tc>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2A2CBAE8">
            <w:pPr>
              <w:spacing w:beforeLines="0" w:afterLines="0"/>
              <w:rPr>
                <w:rFonts w:hint="default"/>
                <w:sz w:val="22"/>
                <w:szCs w:val="22"/>
              </w:rPr>
            </w:pPr>
            <w:r>
              <w:rPr>
                <w:rFonts w:hint="default"/>
                <w:sz w:val="22"/>
                <w:szCs w:val="22"/>
              </w:rPr>
              <w:t>负责测试用例编制、用例执行、缺陷提交与跟踪</w:t>
            </w:r>
          </w:p>
        </w:tc>
      </w:tr>
      <w:tr w14:paraId="51EE74A1">
        <w:trPr>
          <w:wBefore w:w="0" w:type="dxa"/>
          <w:wAfter w:w="0" w:type="dxa"/>
        </w:trPr>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108D8A8B">
            <w:pPr>
              <w:spacing w:beforeLines="0" w:afterLines="0"/>
              <w:rPr>
                <w:rFonts w:hint="default"/>
                <w:sz w:val="22"/>
                <w:szCs w:val="22"/>
              </w:rPr>
            </w:pPr>
            <w:r>
              <w:rPr>
                <w:rFonts w:hint="default"/>
                <w:b/>
                <w:sz w:val="22"/>
                <w:szCs w:val="22"/>
              </w:rPr>
              <w:t>开发工程师</w:t>
            </w:r>
          </w:p>
        </w:tc>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001E4E6D">
            <w:pPr>
              <w:spacing w:beforeLines="0" w:afterLines="0"/>
              <w:rPr>
                <w:rFonts w:hint="default"/>
                <w:sz w:val="22"/>
                <w:szCs w:val="22"/>
              </w:rPr>
            </w:pPr>
            <w:r>
              <w:rPr>
                <w:rFonts w:hint="default"/>
                <w:sz w:val="22"/>
                <w:szCs w:val="22"/>
              </w:rPr>
              <w:t>负责接收缺陷、修复问题、完成自测和提交提测材料</w:t>
            </w:r>
          </w:p>
        </w:tc>
      </w:tr>
      <w:tr w14:paraId="7CC0927A">
        <w:trPr>
          <w:wBefore w:w="0" w:type="dxa"/>
          <w:wAfter w:w="0" w:type="dxa"/>
        </w:trPr>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1C55B598">
            <w:pPr>
              <w:spacing w:beforeLines="0" w:afterLines="0"/>
              <w:rPr>
                <w:rFonts w:hint="default"/>
                <w:sz w:val="22"/>
                <w:szCs w:val="22"/>
              </w:rPr>
            </w:pPr>
            <w:r>
              <w:rPr>
                <w:rFonts w:hint="default"/>
                <w:b/>
                <w:sz w:val="22"/>
                <w:szCs w:val="22"/>
              </w:rPr>
              <w:t>业务需求人员</w:t>
            </w:r>
          </w:p>
        </w:tc>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49D14217">
            <w:pPr>
              <w:spacing w:beforeLines="0" w:afterLines="0"/>
              <w:rPr>
                <w:rFonts w:hint="default"/>
                <w:sz w:val="22"/>
                <w:szCs w:val="22"/>
              </w:rPr>
            </w:pPr>
            <w:r>
              <w:rPr>
                <w:rFonts w:hint="default"/>
                <w:sz w:val="22"/>
                <w:szCs w:val="22"/>
              </w:rPr>
              <w:t>参与用例评审和 UAT 验收测试</w:t>
            </w:r>
          </w:p>
        </w:tc>
      </w:tr>
      <w:bookmarkEnd w:id="9"/>
    </w:tbl>
    <w:p w14:paraId="1A580D7F">
      <w:pPr>
        <w:pStyle w:val="4"/>
        <w:spacing w:beforeLines="0" w:afterLines="0"/>
        <w:rPr>
          <w:rFonts w:hint="default"/>
          <w:sz w:val="26"/>
          <w:szCs w:val="26"/>
        </w:rPr>
      </w:pPr>
      <w:bookmarkStart w:id="10" w:name="需求研判与免测判定"/>
      <w:r>
        <w:rPr>
          <w:rFonts w:hint="eastAsia" w:ascii="黑体" w:hAnsi="黑体" w:eastAsia="黑体"/>
          <w:sz w:val="26"/>
          <w:szCs w:val="26"/>
        </w:rPr>
        <w:t xml:space="preserve">4 </w:t>
      </w:r>
      <w:r>
        <w:rPr>
          <w:rFonts w:hint="default" w:ascii="ＭＳ ゴシック"/>
          <w:sz w:val="26"/>
          <w:szCs w:val="26"/>
        </w:rPr>
        <w:t>需求研判与免测判定</w:t>
      </w:r>
    </w:p>
    <w:p w14:paraId="195FC500">
      <w:pPr>
        <w:pStyle w:val="5"/>
        <w:spacing w:beforeLines="0" w:afterLines="0"/>
        <w:rPr>
          <w:rFonts w:hint="default"/>
          <w:sz w:val="22"/>
          <w:szCs w:val="22"/>
        </w:rPr>
      </w:pPr>
      <w:bookmarkStart w:id="11" w:name="需求接收"/>
      <w:r>
        <w:rPr>
          <w:rFonts w:hint="eastAsia" w:ascii="黑体" w:hAnsi="黑体" w:eastAsia="黑体"/>
          <w:sz w:val="22"/>
          <w:szCs w:val="22"/>
        </w:rPr>
        <w:t xml:space="preserve">4.1 </w:t>
      </w:r>
      <w:r>
        <w:rPr>
          <w:rFonts w:hint="default" w:ascii="ＭＳ ゴシック"/>
          <w:sz w:val="22"/>
          <w:szCs w:val="22"/>
        </w:rPr>
        <w:t>需求接收</w:t>
      </w:r>
    </w:p>
    <w:p w14:paraId="3B73F3E5">
      <w:pPr>
        <w:spacing w:beforeLines="0" w:afterLines="0"/>
        <w:rPr>
          <w:rFonts w:hint="default"/>
          <w:sz w:val="22"/>
          <w:szCs w:val="22"/>
        </w:rPr>
      </w:pPr>
      <w:r>
        <w:rPr>
          <w:rFonts w:hint="default"/>
          <w:sz w:val="22"/>
          <w:szCs w:val="22"/>
        </w:rPr>
        <w:t>全研发管理平台向测试平台发送《需求规格说明书》。系统应自动接收并在测试平台中创建对应的测试计划，识别需求所属的业务系统。</w:t>
      </w:r>
    </w:p>
    <w:p w14:paraId="38073E96">
      <w:pPr>
        <w:pStyle w:val="19"/>
        <w:spacing w:beforeLines="0" w:afterLines="0"/>
        <w:rPr>
          <w:rFonts w:hint="default"/>
          <w:sz w:val="22"/>
          <w:szCs w:val="22"/>
        </w:rPr>
      </w:pPr>
      <w:r>
        <w:rPr>
          <w:rFonts w:hint="default"/>
          <w:sz w:val="22"/>
          <w:szCs w:val="22"/>
        </w:rPr>
        <w:t>测试团队负责人在测试平台接收需求后，可查看需求规格说明书链接，开展需求拆解与风险评估。</w:t>
      </w:r>
    </w:p>
    <w:bookmarkEnd w:id="11"/>
    <w:p w14:paraId="638E4477">
      <w:pPr>
        <w:pStyle w:val="5"/>
        <w:spacing w:beforeLines="0" w:afterLines="0"/>
        <w:rPr>
          <w:rFonts w:hint="default"/>
          <w:sz w:val="22"/>
          <w:szCs w:val="22"/>
        </w:rPr>
      </w:pPr>
      <w:bookmarkStart w:id="12" w:name="免测判定"/>
      <w:r>
        <w:rPr>
          <w:rFonts w:hint="eastAsia" w:ascii="黑体" w:hAnsi="黑体" w:eastAsia="黑体"/>
          <w:sz w:val="22"/>
          <w:szCs w:val="22"/>
        </w:rPr>
        <w:t xml:space="preserve">4.2 </w:t>
      </w:r>
      <w:r>
        <w:rPr>
          <w:rFonts w:hint="default" w:ascii="ＭＳ ゴシック"/>
          <w:sz w:val="22"/>
          <w:szCs w:val="22"/>
        </w:rPr>
        <w:t>免测判定</w:t>
      </w:r>
    </w:p>
    <w:p w14:paraId="53220672">
      <w:pPr>
        <w:spacing w:beforeLines="0" w:afterLines="0"/>
        <w:rPr>
          <w:rFonts w:hint="default"/>
          <w:sz w:val="22"/>
          <w:szCs w:val="22"/>
        </w:rPr>
      </w:pPr>
      <w:r>
        <w:rPr>
          <w:rFonts w:hint="default"/>
          <w:sz w:val="22"/>
          <w:szCs w:val="22"/>
        </w:rPr>
        <w:t>系统应提供免测判定功能，支持测试团队负责人根据以下标准判断是否免测。满足任一类型即可申请免测：</w:t>
      </w:r>
    </w:p>
    <w:p w14:paraId="6E49AD6E">
      <w:pPr>
        <w:numPr>
          <w:ilvl w:val="0"/>
          <w:numId w:val="8"/>
        </w:numPr>
        <w:spacing w:beforeLines="0" w:afterLines="0"/>
        <w:rPr>
          <w:rFonts w:hint="default"/>
          <w:sz w:val="22"/>
          <w:szCs w:val="22"/>
        </w:rPr>
      </w:pPr>
      <w:r>
        <w:rPr>
          <w:rFonts w:hint="default"/>
          <w:b/>
          <w:sz w:val="22"/>
          <w:szCs w:val="22"/>
        </w:rPr>
        <w:t>功能极简、无业务流转类需求</w:t>
      </w:r>
      <w:r>
        <w:rPr>
          <w:rFonts w:hint="default"/>
          <w:sz w:val="22"/>
          <w:szCs w:val="22"/>
        </w:rPr>
        <w:t>：仅涉及页面信息静态展示、纯文案调整、提示语优化、静态样式微调，不涉及新增交互逻辑、业务审批或数据流转。</w:t>
      </w:r>
    </w:p>
    <w:p w14:paraId="7EA55518">
      <w:pPr>
        <w:numPr>
          <w:ilvl w:val="0"/>
          <w:numId w:val="8"/>
        </w:numPr>
        <w:spacing w:beforeLines="0" w:afterLines="0"/>
        <w:rPr>
          <w:rFonts w:hint="default"/>
          <w:sz w:val="22"/>
          <w:szCs w:val="22"/>
        </w:rPr>
      </w:pPr>
      <w:r>
        <w:rPr>
          <w:rFonts w:hint="default"/>
          <w:b/>
          <w:sz w:val="22"/>
          <w:szCs w:val="22"/>
        </w:rPr>
        <w:t>无业务、数据、资金风险类需求</w:t>
      </w:r>
      <w:r>
        <w:rPr>
          <w:rFonts w:hint="default"/>
          <w:sz w:val="22"/>
          <w:szCs w:val="22"/>
        </w:rPr>
        <w:t>：需求变更不涉及核心业务链路、数据库变更、资金计算、账务流水或客户核心信息，变更出错不会引发业务中断、数据错乱或资金损失。</w:t>
      </w:r>
    </w:p>
    <w:p w14:paraId="69726D98">
      <w:pPr>
        <w:numPr>
          <w:ilvl w:val="0"/>
          <w:numId w:val="8"/>
        </w:numPr>
        <w:spacing w:beforeLines="0" w:afterLines="0"/>
        <w:rPr>
          <w:rFonts w:hint="default"/>
          <w:sz w:val="22"/>
          <w:szCs w:val="22"/>
        </w:rPr>
      </w:pPr>
      <w:r>
        <w:rPr>
          <w:rFonts w:hint="default"/>
          <w:b/>
          <w:sz w:val="22"/>
          <w:szCs w:val="22"/>
        </w:rPr>
        <w:t>资源不足协商免测</w:t>
      </w:r>
      <w:r>
        <w:rPr>
          <w:rFonts w:hint="default"/>
          <w:sz w:val="22"/>
          <w:szCs w:val="22"/>
        </w:rPr>
        <w:t>：测试团队人力排期饱和，无法调整人力或延期测试，经测试团队负责人与需求部门充分沟通达成一致后申请。</w:t>
      </w:r>
    </w:p>
    <w:bookmarkEnd w:id="12"/>
    <w:p w14:paraId="76625272">
      <w:pPr>
        <w:pStyle w:val="5"/>
        <w:spacing w:beforeLines="0" w:afterLines="0"/>
        <w:rPr>
          <w:rFonts w:hint="default"/>
          <w:sz w:val="22"/>
          <w:szCs w:val="22"/>
        </w:rPr>
      </w:pPr>
      <w:bookmarkStart w:id="13" w:name="提交免测"/>
      <w:r>
        <w:rPr>
          <w:rFonts w:hint="eastAsia" w:ascii="黑体" w:hAnsi="黑体" w:eastAsia="黑体"/>
          <w:sz w:val="22"/>
          <w:szCs w:val="22"/>
        </w:rPr>
        <w:t xml:space="preserve">4.3 </w:t>
      </w:r>
      <w:r>
        <w:rPr>
          <w:rFonts w:hint="default" w:ascii="ＭＳ ゴシック"/>
          <w:sz w:val="22"/>
          <w:szCs w:val="22"/>
        </w:rPr>
        <w:t>提交免测</w:t>
      </w:r>
    </w:p>
    <w:p w14:paraId="7B99DAAD">
      <w:pPr>
        <w:spacing w:beforeLines="0" w:afterLines="0"/>
        <w:rPr>
          <w:rFonts w:hint="default"/>
          <w:sz w:val="22"/>
          <w:szCs w:val="22"/>
        </w:rPr>
      </w:pPr>
      <w:r>
        <w:rPr>
          <w:rFonts w:hint="default"/>
          <w:sz w:val="22"/>
          <w:szCs w:val="22"/>
        </w:rPr>
        <w:t>当判定为免测时，测试人员选择”提交免测”，系统弹出免测信息填写窗口，需填写以下内容：</w:t>
      </w:r>
    </w:p>
    <w:p w14:paraId="4DFAE78C">
      <w:pPr>
        <w:numPr>
          <w:ilvl w:val="0"/>
          <w:numId w:val="8"/>
        </w:numPr>
        <w:spacing w:beforeLines="0" w:afterLines="0"/>
        <w:rPr>
          <w:rFonts w:hint="default"/>
          <w:sz w:val="22"/>
          <w:szCs w:val="22"/>
        </w:rPr>
      </w:pPr>
      <w:r>
        <w:rPr>
          <w:rFonts w:hint="default"/>
          <w:sz w:val="22"/>
          <w:szCs w:val="22"/>
        </w:rPr>
        <w:t>系统名称（与全研发平台系统名称一致）</w:t>
      </w:r>
    </w:p>
    <w:p w14:paraId="48845203">
      <w:pPr>
        <w:numPr>
          <w:ilvl w:val="0"/>
          <w:numId w:val="8"/>
        </w:numPr>
        <w:spacing w:beforeLines="0" w:afterLines="0"/>
        <w:rPr>
          <w:rFonts w:hint="default"/>
          <w:sz w:val="22"/>
          <w:szCs w:val="22"/>
        </w:rPr>
      </w:pPr>
      <w:r>
        <w:rPr>
          <w:rFonts w:hint="default"/>
          <w:sz w:val="22"/>
          <w:szCs w:val="22"/>
        </w:rPr>
        <w:t>需求编号（与全研发平台需求编号一致）</w:t>
      </w:r>
    </w:p>
    <w:p w14:paraId="0A75B374">
      <w:pPr>
        <w:numPr>
          <w:ilvl w:val="0"/>
          <w:numId w:val="8"/>
        </w:numPr>
        <w:spacing w:beforeLines="0" w:afterLines="0"/>
        <w:rPr>
          <w:rFonts w:hint="default"/>
          <w:sz w:val="22"/>
          <w:szCs w:val="22"/>
        </w:rPr>
      </w:pPr>
      <w:r>
        <w:rPr>
          <w:rFonts w:hint="default"/>
          <w:sz w:val="22"/>
          <w:szCs w:val="22"/>
        </w:rPr>
        <w:t>需求简述</w:t>
      </w:r>
    </w:p>
    <w:p w14:paraId="79C87D44">
      <w:pPr>
        <w:numPr>
          <w:ilvl w:val="0"/>
          <w:numId w:val="8"/>
        </w:numPr>
        <w:spacing w:beforeLines="0" w:afterLines="0"/>
        <w:rPr>
          <w:rFonts w:hint="default"/>
          <w:sz w:val="22"/>
          <w:szCs w:val="22"/>
        </w:rPr>
      </w:pPr>
      <w:r>
        <w:rPr>
          <w:rFonts w:hint="default"/>
          <w:sz w:val="22"/>
          <w:szCs w:val="22"/>
        </w:rPr>
        <w:t>关联人员姓名</w:t>
      </w:r>
    </w:p>
    <w:p w14:paraId="24772DE4">
      <w:pPr>
        <w:numPr>
          <w:ilvl w:val="0"/>
          <w:numId w:val="8"/>
        </w:numPr>
        <w:spacing w:beforeLines="0" w:afterLines="0"/>
        <w:rPr>
          <w:rFonts w:hint="default"/>
          <w:sz w:val="22"/>
          <w:szCs w:val="22"/>
        </w:rPr>
      </w:pPr>
      <w:r>
        <w:rPr>
          <w:rFonts w:hint="default"/>
          <w:sz w:val="22"/>
          <w:szCs w:val="22"/>
        </w:rPr>
        <w:t>免测说明（详细阐述免测原因）</w:t>
      </w:r>
    </w:p>
    <w:p w14:paraId="733EB42B">
      <w:pPr>
        <w:spacing w:beforeLines="0" w:afterLines="0"/>
        <w:rPr>
          <w:rFonts w:hint="default"/>
          <w:sz w:val="22"/>
          <w:szCs w:val="22"/>
        </w:rPr>
      </w:pPr>
      <w:r>
        <w:rPr>
          <w:rFonts w:hint="default"/>
          <w:sz w:val="22"/>
          <w:szCs w:val="22"/>
        </w:rPr>
        <w:t>提交后，系统将免测结果同步至全研发管理平台，全研发平台状态更新为”测试团队INT免测”。免测需求仍需由开发工程师完成 INT 自测，并由 UAT 完成验证。</w:t>
      </w:r>
    </w:p>
    <w:p w14:paraId="3D3BC45D">
      <w:pPr>
        <w:pStyle w:val="19"/>
        <w:spacing w:beforeLines="0" w:afterLines="0"/>
        <w:rPr>
          <w:rFonts w:hint="default"/>
          <w:sz w:val="22"/>
          <w:szCs w:val="22"/>
        </w:rPr>
      </w:pPr>
      <w:r>
        <w:rPr>
          <w:rFonts w:hint="default"/>
          <w:sz w:val="22"/>
          <w:szCs w:val="22"/>
        </w:rPr>
        <w:t>免测需求需留存沟通记录和免测判定说明文档。若上线后出现问题，由开发团队承担主要责任。开发自测记录应归档备查。</w:t>
      </w:r>
    </w:p>
    <w:bookmarkEnd w:id="13"/>
    <w:p w14:paraId="386A0163">
      <w:pPr>
        <w:pStyle w:val="5"/>
        <w:spacing w:beforeLines="0" w:afterLines="0"/>
        <w:rPr>
          <w:rFonts w:hint="default"/>
          <w:sz w:val="22"/>
          <w:szCs w:val="22"/>
        </w:rPr>
      </w:pPr>
      <w:bookmarkStart w:id="14" w:name="继续测试"/>
      <w:r>
        <w:rPr>
          <w:rFonts w:hint="eastAsia" w:ascii="黑体" w:hAnsi="黑体" w:eastAsia="黑体"/>
          <w:sz w:val="22"/>
          <w:szCs w:val="22"/>
        </w:rPr>
        <w:t xml:space="preserve">4.4 </w:t>
      </w:r>
      <w:r>
        <w:rPr>
          <w:rFonts w:hint="default" w:ascii="ＭＳ ゴシック"/>
          <w:sz w:val="22"/>
          <w:szCs w:val="22"/>
        </w:rPr>
        <w:t>继续测试</w:t>
      </w:r>
    </w:p>
    <w:p w14:paraId="6AA50AF1">
      <w:pPr>
        <w:spacing w:beforeLines="0" w:afterLines="0"/>
        <w:rPr>
          <w:rFonts w:hint="default"/>
          <w:sz w:val="22"/>
          <w:szCs w:val="22"/>
        </w:rPr>
      </w:pPr>
      <w:r>
        <w:rPr>
          <w:rFonts w:hint="default"/>
          <w:sz w:val="22"/>
          <w:szCs w:val="22"/>
        </w:rPr>
        <w:t>如判定需测试团队介入，测试人员选择”继续测试”，系统将全研发平台状态同步为”测试计划”，进入测试计划编制阶段。</w:t>
      </w:r>
    </w:p>
    <w:bookmarkEnd w:id="10"/>
    <w:bookmarkEnd w:id="14"/>
    <w:p w14:paraId="2DD1D321">
      <w:pPr>
        <w:pStyle w:val="4"/>
        <w:spacing w:beforeLines="0" w:afterLines="0"/>
        <w:rPr>
          <w:rFonts w:hint="default"/>
          <w:sz w:val="26"/>
          <w:szCs w:val="26"/>
        </w:rPr>
      </w:pPr>
      <w:bookmarkStart w:id="15" w:name="测试计划编制"/>
      <w:r>
        <w:rPr>
          <w:rFonts w:hint="eastAsia" w:ascii="黑体" w:hAnsi="黑体" w:eastAsia="黑体"/>
          <w:sz w:val="26"/>
          <w:szCs w:val="26"/>
        </w:rPr>
        <w:t xml:space="preserve">5 </w:t>
      </w:r>
      <w:r>
        <w:rPr>
          <w:rFonts w:hint="default" w:ascii="ＭＳ ゴシック"/>
          <w:sz w:val="26"/>
          <w:szCs w:val="26"/>
        </w:rPr>
        <w:t>测试计划编制</w:t>
      </w:r>
    </w:p>
    <w:p w14:paraId="15855497">
      <w:pPr>
        <w:pStyle w:val="5"/>
        <w:spacing w:beforeLines="0" w:afterLines="0"/>
        <w:rPr>
          <w:rFonts w:hint="default"/>
          <w:sz w:val="22"/>
          <w:szCs w:val="22"/>
        </w:rPr>
      </w:pPr>
      <w:bookmarkStart w:id="16" w:name="编制要求"/>
      <w:r>
        <w:rPr>
          <w:rFonts w:hint="eastAsia" w:ascii="黑体" w:hAnsi="黑体" w:eastAsia="黑体"/>
          <w:sz w:val="22"/>
          <w:szCs w:val="22"/>
        </w:rPr>
        <w:t xml:space="preserve">5.1 </w:t>
      </w:r>
      <w:r>
        <w:rPr>
          <w:rFonts w:hint="default" w:ascii="ＭＳ ゴシック"/>
          <w:sz w:val="22"/>
          <w:szCs w:val="22"/>
        </w:rPr>
        <w:t>编制要求</w:t>
      </w:r>
    </w:p>
    <w:p w14:paraId="425C0335">
      <w:pPr>
        <w:spacing w:beforeLines="0" w:afterLines="0"/>
        <w:rPr>
          <w:rFonts w:hint="default"/>
          <w:sz w:val="22"/>
          <w:szCs w:val="22"/>
        </w:rPr>
      </w:pPr>
      <w:r>
        <w:rPr>
          <w:rFonts w:hint="default"/>
          <w:sz w:val="22"/>
          <w:szCs w:val="22"/>
        </w:rPr>
        <w:t>测试团队负责人根据以下依据编制测试计划：</w:t>
      </w:r>
    </w:p>
    <w:p w14:paraId="41A40571">
      <w:pPr>
        <w:numPr>
          <w:ilvl w:val="0"/>
          <w:numId w:val="8"/>
        </w:numPr>
        <w:spacing w:beforeLines="0" w:afterLines="0"/>
        <w:rPr>
          <w:rFonts w:hint="default"/>
          <w:sz w:val="22"/>
          <w:szCs w:val="22"/>
        </w:rPr>
      </w:pPr>
      <w:r>
        <w:rPr>
          <w:rFonts w:hint="default"/>
          <w:sz w:val="22"/>
          <w:szCs w:val="22"/>
        </w:rPr>
        <w:t>《需求规格说明书》</w:t>
      </w:r>
    </w:p>
    <w:p w14:paraId="4C4D5942">
      <w:pPr>
        <w:numPr>
          <w:ilvl w:val="0"/>
          <w:numId w:val="8"/>
        </w:numPr>
        <w:spacing w:beforeLines="0" w:afterLines="0"/>
        <w:rPr>
          <w:rFonts w:hint="default"/>
          <w:sz w:val="22"/>
          <w:szCs w:val="22"/>
        </w:rPr>
      </w:pPr>
      <w:r>
        <w:rPr>
          <w:rFonts w:hint="default"/>
          <w:sz w:val="22"/>
          <w:szCs w:val="22"/>
        </w:rPr>
        <w:t>全研发平台推送的开发计划完成时间</w:t>
      </w:r>
    </w:p>
    <w:p w14:paraId="61C8699C">
      <w:pPr>
        <w:spacing w:beforeLines="0" w:afterLines="0"/>
        <w:rPr>
          <w:rFonts w:hint="default"/>
          <w:sz w:val="22"/>
          <w:szCs w:val="22"/>
        </w:rPr>
      </w:pPr>
      <w:r>
        <w:rPr>
          <w:rFonts w:hint="default"/>
          <w:sz w:val="22"/>
          <w:szCs w:val="22"/>
        </w:rPr>
        <w:t>编制内容应包括：测试人力分配、各测试阶段时间节点、工作安排和冒烟测试判定。</w:t>
      </w:r>
    </w:p>
    <w:bookmarkEnd w:id="16"/>
    <w:p w14:paraId="448095E5">
      <w:pPr>
        <w:pStyle w:val="5"/>
        <w:spacing w:beforeLines="0" w:afterLines="0"/>
        <w:rPr>
          <w:rFonts w:hint="default"/>
          <w:sz w:val="22"/>
          <w:szCs w:val="22"/>
        </w:rPr>
      </w:pPr>
      <w:bookmarkStart w:id="17" w:name="模块树管理"/>
      <w:r>
        <w:rPr>
          <w:rFonts w:hint="eastAsia" w:ascii="黑体" w:hAnsi="黑体" w:eastAsia="黑体"/>
          <w:sz w:val="22"/>
          <w:szCs w:val="22"/>
        </w:rPr>
        <w:t xml:space="preserve">5.2 </w:t>
      </w:r>
      <w:r>
        <w:rPr>
          <w:rFonts w:hint="default" w:ascii="ＭＳ ゴシック"/>
          <w:sz w:val="22"/>
          <w:szCs w:val="22"/>
        </w:rPr>
        <w:t>模块树管理</w:t>
      </w:r>
    </w:p>
    <w:p w14:paraId="7E8B5894">
      <w:pPr>
        <w:spacing w:beforeLines="0" w:afterLines="0"/>
        <w:rPr>
          <w:rFonts w:hint="default"/>
          <w:sz w:val="22"/>
          <w:szCs w:val="22"/>
        </w:rPr>
      </w:pPr>
      <w:r>
        <w:rPr>
          <w:rFonts w:hint="default"/>
          <w:sz w:val="22"/>
          <w:szCs w:val="22"/>
        </w:rPr>
        <w:t>系统应根据需求所属业务系统自动创建或匹配左侧模块树节点，测试计划放置到对应模块节点下，便于按业务系统维度组织和管理。</w:t>
      </w:r>
    </w:p>
    <w:bookmarkEnd w:id="17"/>
    <w:p w14:paraId="391F202C">
      <w:pPr>
        <w:pStyle w:val="5"/>
        <w:spacing w:beforeLines="0" w:afterLines="0"/>
        <w:rPr>
          <w:rFonts w:hint="default"/>
          <w:sz w:val="22"/>
          <w:szCs w:val="22"/>
        </w:rPr>
      </w:pPr>
      <w:bookmarkStart w:id="18" w:name="编辑与提交"/>
      <w:r>
        <w:rPr>
          <w:rFonts w:hint="eastAsia" w:ascii="黑体" w:hAnsi="黑体" w:eastAsia="黑体"/>
          <w:sz w:val="22"/>
          <w:szCs w:val="22"/>
        </w:rPr>
        <w:t xml:space="preserve">5.3 </w:t>
      </w:r>
      <w:r>
        <w:rPr>
          <w:rFonts w:hint="default" w:ascii="ＭＳ ゴシック"/>
          <w:sz w:val="22"/>
          <w:szCs w:val="22"/>
        </w:rPr>
        <w:t>编辑与提交</w:t>
      </w:r>
    </w:p>
    <w:p w14:paraId="72C11D7D">
      <w:pPr>
        <w:spacing w:beforeLines="0" w:afterLines="0"/>
        <w:rPr>
          <w:rFonts w:hint="default"/>
          <w:sz w:val="22"/>
          <w:szCs w:val="22"/>
        </w:rPr>
      </w:pPr>
      <w:r>
        <w:rPr>
          <w:rFonts w:hint="default"/>
          <w:sz w:val="22"/>
          <w:szCs w:val="22"/>
        </w:rPr>
        <w:t>测试计划编制阶段，测试计划处于可编辑状态。测试人员可编辑计划开始时间、计划结束时间、负责人、测试范围等内容。编制完成后点击提交，系统将计划同步至全研发管理平台等待审批，测试计划状态更新为”已提交”并禁止编辑。</w:t>
      </w:r>
    </w:p>
    <w:bookmarkEnd w:id="18"/>
    <w:p w14:paraId="1A454137">
      <w:pPr>
        <w:pStyle w:val="5"/>
        <w:spacing w:beforeLines="0" w:afterLines="0"/>
        <w:rPr>
          <w:rFonts w:hint="default"/>
          <w:sz w:val="22"/>
          <w:szCs w:val="22"/>
        </w:rPr>
      </w:pPr>
      <w:bookmarkStart w:id="19" w:name="冒烟测试"/>
      <w:r>
        <w:rPr>
          <w:rFonts w:hint="eastAsia" w:ascii="黑体" w:hAnsi="黑体" w:eastAsia="黑体"/>
          <w:sz w:val="22"/>
          <w:szCs w:val="22"/>
        </w:rPr>
        <w:t xml:space="preserve">5.4 </w:t>
      </w:r>
      <w:r>
        <w:rPr>
          <w:rFonts w:hint="default" w:ascii="ＭＳ ゴシック"/>
          <w:sz w:val="22"/>
          <w:szCs w:val="22"/>
        </w:rPr>
        <w:t>冒烟测试</w:t>
      </w:r>
    </w:p>
    <w:p w14:paraId="5AF97AC2">
      <w:pPr>
        <w:spacing w:beforeLines="0" w:afterLines="0"/>
        <w:rPr>
          <w:rFonts w:hint="default"/>
          <w:sz w:val="22"/>
          <w:szCs w:val="22"/>
        </w:rPr>
      </w:pPr>
      <w:r>
        <w:rPr>
          <w:rFonts w:hint="default"/>
          <w:sz w:val="22"/>
          <w:szCs w:val="22"/>
        </w:rPr>
        <w:t>当需求满足以下任一场景时，系统应提示必须执行冒烟测试。多场景同步发生可合并执行 1 轮：</w:t>
      </w:r>
    </w:p>
    <w:p w14:paraId="1B9C2F51">
      <w:pPr>
        <w:numPr>
          <w:ilvl w:val="0"/>
          <w:numId w:val="9"/>
        </w:numPr>
        <w:spacing w:beforeLines="0" w:afterLines="0"/>
        <w:rPr>
          <w:rFonts w:hint="default"/>
          <w:sz w:val="22"/>
          <w:szCs w:val="22"/>
        </w:rPr>
      </w:pPr>
      <w:r>
        <w:rPr>
          <w:rFonts w:hint="default"/>
          <w:sz w:val="22"/>
          <w:szCs w:val="22"/>
        </w:rPr>
        <w:t>完整新版本交付或重大迭代补丁包交付（改动不少于 2 个业务模块、涉及底层依赖或核心流程或数据库表结构变更、跨模块代码合并）</w:t>
      </w:r>
    </w:p>
    <w:p w14:paraId="19D3E8E1">
      <w:pPr>
        <w:numPr>
          <w:ilvl w:val="0"/>
          <w:numId w:val="9"/>
        </w:numPr>
        <w:spacing w:beforeLines="0" w:afterLines="0"/>
        <w:rPr>
          <w:rFonts w:hint="default"/>
          <w:sz w:val="22"/>
          <w:szCs w:val="22"/>
        </w:rPr>
      </w:pPr>
      <w:r>
        <w:rPr>
          <w:rFonts w:hint="default"/>
          <w:sz w:val="22"/>
          <w:szCs w:val="22"/>
        </w:rPr>
        <w:t>系统全新部署、版本大升级或跨环境应用与数据迁移（开发、测试、预发、生产任一环境）</w:t>
      </w:r>
    </w:p>
    <w:p w14:paraId="6E0AA1DF">
      <w:pPr>
        <w:numPr>
          <w:ilvl w:val="0"/>
          <w:numId w:val="9"/>
        </w:numPr>
        <w:spacing w:beforeLines="0" w:afterLines="0"/>
        <w:rPr>
          <w:rFonts w:hint="default"/>
          <w:sz w:val="22"/>
          <w:szCs w:val="22"/>
        </w:rPr>
      </w:pPr>
      <w:r>
        <w:rPr>
          <w:rFonts w:hint="default"/>
          <w:sz w:val="22"/>
          <w:szCs w:val="22"/>
        </w:rPr>
        <w:t>底层基础设施变更：数据库、中间件、服务器、网络、全局核心配置发生升级、替换或修改</w:t>
      </w:r>
    </w:p>
    <w:p w14:paraId="6C879313">
      <w:pPr>
        <w:numPr>
          <w:ilvl w:val="0"/>
          <w:numId w:val="9"/>
        </w:numPr>
        <w:spacing w:beforeLines="0" w:afterLines="0"/>
        <w:rPr>
          <w:rFonts w:hint="default"/>
          <w:sz w:val="22"/>
          <w:szCs w:val="22"/>
        </w:rPr>
      </w:pPr>
      <w:r>
        <w:rPr>
          <w:rFonts w:hint="default"/>
          <w:sz w:val="22"/>
          <w:szCs w:val="22"/>
        </w:rPr>
        <w:t>生产环境完整版本发布、底层资源扩容迁移、全局性运维配置变更</w:t>
      </w:r>
    </w:p>
    <w:p w14:paraId="6011E40F">
      <w:pPr>
        <w:numPr>
          <w:ilvl w:val="0"/>
          <w:numId w:val="9"/>
        </w:numPr>
        <w:spacing w:beforeLines="0" w:afterLines="0"/>
        <w:rPr>
          <w:rFonts w:hint="default"/>
          <w:sz w:val="22"/>
          <w:szCs w:val="22"/>
        </w:rPr>
      </w:pPr>
      <w:r>
        <w:rPr>
          <w:rFonts w:hint="default"/>
          <w:sz w:val="22"/>
          <w:szCs w:val="22"/>
        </w:rPr>
        <w:t>多开发分支合并或多业务模块集成合并，存在集成兼容故障风险</w:t>
      </w:r>
    </w:p>
    <w:p w14:paraId="0D6DF1FE">
      <w:pPr>
        <w:spacing w:beforeLines="0" w:afterLines="0"/>
        <w:rPr>
          <w:rFonts w:hint="default"/>
          <w:sz w:val="22"/>
          <w:szCs w:val="22"/>
        </w:rPr>
      </w:pPr>
      <w:r>
        <w:rPr>
          <w:rFonts w:hint="default"/>
          <w:sz w:val="22"/>
          <w:szCs w:val="22"/>
        </w:rPr>
        <w:t>冒烟测试失败后，系统应支持将结果退回开发，测试不继续向下开展。</w:t>
      </w:r>
    </w:p>
    <w:bookmarkEnd w:id="15"/>
    <w:bookmarkEnd w:id="19"/>
    <w:p w14:paraId="384E172C">
      <w:pPr>
        <w:pStyle w:val="4"/>
        <w:spacing w:beforeLines="0" w:afterLines="0"/>
        <w:rPr>
          <w:rFonts w:hint="default"/>
          <w:sz w:val="26"/>
          <w:szCs w:val="26"/>
        </w:rPr>
      </w:pPr>
      <w:bookmarkStart w:id="20" w:name="测试计划审批"/>
      <w:r>
        <w:rPr>
          <w:rFonts w:hint="eastAsia" w:ascii="黑体" w:hAnsi="黑体" w:eastAsia="黑体"/>
          <w:sz w:val="26"/>
          <w:szCs w:val="26"/>
        </w:rPr>
        <w:t xml:space="preserve">6 </w:t>
      </w:r>
      <w:r>
        <w:rPr>
          <w:rFonts w:hint="default" w:ascii="ＭＳ ゴシック"/>
          <w:sz w:val="26"/>
          <w:szCs w:val="26"/>
        </w:rPr>
        <w:t>测试计划审批</w:t>
      </w:r>
    </w:p>
    <w:p w14:paraId="49C3E155">
      <w:pPr>
        <w:pStyle w:val="5"/>
        <w:spacing w:beforeLines="0" w:afterLines="0"/>
        <w:rPr>
          <w:rFonts w:hint="default"/>
          <w:sz w:val="22"/>
          <w:szCs w:val="22"/>
        </w:rPr>
      </w:pPr>
      <w:bookmarkStart w:id="21" w:name="审批流程"/>
      <w:r>
        <w:rPr>
          <w:rFonts w:hint="eastAsia" w:ascii="黑体" w:hAnsi="黑体" w:eastAsia="黑体"/>
          <w:sz w:val="22"/>
          <w:szCs w:val="22"/>
        </w:rPr>
        <w:t xml:space="preserve">6.1 </w:t>
      </w:r>
      <w:r>
        <w:rPr>
          <w:rFonts w:hint="default" w:ascii="ＭＳ ゴシック"/>
          <w:sz w:val="22"/>
          <w:szCs w:val="22"/>
        </w:rPr>
        <w:t>审批流程</w:t>
      </w:r>
    </w:p>
    <w:p w14:paraId="6E4314C0">
      <w:pPr>
        <w:spacing w:beforeLines="0" w:afterLines="0"/>
        <w:rPr>
          <w:rFonts w:hint="default"/>
          <w:sz w:val="22"/>
          <w:szCs w:val="22"/>
        </w:rPr>
      </w:pPr>
      <w:r>
        <w:rPr>
          <w:rFonts w:hint="default"/>
          <w:sz w:val="22"/>
          <w:szCs w:val="22"/>
        </w:rPr>
        <w:t>测试总负责人收到测试计划后，对计划周期、人力安排和风险预案进行合理性审核。</w:t>
      </w:r>
    </w:p>
    <w:p w14:paraId="2264BEB2">
      <w:pPr>
        <w:pStyle w:val="19"/>
        <w:spacing w:beforeLines="0" w:afterLines="0"/>
        <w:rPr>
          <w:rFonts w:hint="default"/>
          <w:sz w:val="22"/>
          <w:szCs w:val="22"/>
        </w:rPr>
      </w:pPr>
      <w:r>
        <w:rPr>
          <w:rFonts w:hint="default"/>
          <w:b/>
          <w:sz w:val="22"/>
          <w:szCs w:val="22"/>
        </w:rPr>
        <w:t>审批通过</w:t>
      </w:r>
      <w:r>
        <w:rPr>
          <w:rFonts w:hint="default"/>
          <w:sz w:val="22"/>
          <w:szCs w:val="22"/>
        </w:rPr>
        <w:t>：测试总负责人审批通过后，全研发平台状态流转至测试准备环节。系统在测试平台解除计划基础信息的编辑限制，进入测试执行生命周期。</w:t>
      </w:r>
    </w:p>
    <w:p w14:paraId="47A701A3">
      <w:pPr>
        <w:pStyle w:val="19"/>
        <w:spacing w:beforeLines="0" w:afterLines="0"/>
        <w:rPr>
          <w:rFonts w:hint="default"/>
          <w:sz w:val="22"/>
          <w:szCs w:val="22"/>
        </w:rPr>
      </w:pPr>
      <w:r>
        <w:rPr>
          <w:rFonts w:hint="default"/>
          <w:b/>
          <w:sz w:val="22"/>
          <w:szCs w:val="22"/>
        </w:rPr>
        <w:t>审批驳回</w:t>
      </w:r>
      <w:r>
        <w:rPr>
          <w:rFonts w:hint="default"/>
          <w:sz w:val="22"/>
          <w:szCs w:val="22"/>
        </w:rPr>
        <w:t>：测试总负责人出具修改意见并驳回。系统在测试平台恢复测试计划的编辑权限，测试团队负责人根据驳回原因修改后重新提交，直至审批通过。</w:t>
      </w:r>
    </w:p>
    <w:bookmarkEnd w:id="21"/>
    <w:p w14:paraId="3FDC7D9C">
      <w:pPr>
        <w:pStyle w:val="5"/>
        <w:spacing w:beforeLines="0" w:afterLines="0"/>
        <w:rPr>
          <w:rFonts w:hint="default"/>
          <w:sz w:val="22"/>
          <w:szCs w:val="22"/>
        </w:rPr>
      </w:pPr>
      <w:bookmarkStart w:id="22" w:name="审批状态控制"/>
      <w:r>
        <w:rPr>
          <w:rFonts w:hint="eastAsia" w:ascii="黑体" w:hAnsi="黑体" w:eastAsia="黑体"/>
          <w:sz w:val="22"/>
          <w:szCs w:val="22"/>
        </w:rPr>
        <w:t xml:space="preserve">6.2 </w:t>
      </w:r>
      <w:r>
        <w:rPr>
          <w:rFonts w:hint="default" w:ascii="ＭＳ ゴシック"/>
          <w:sz w:val="22"/>
          <w:szCs w:val="22"/>
        </w:rPr>
        <w:t>审批状态控制</w:t>
      </w:r>
    </w:p>
    <w:tbl>
      <w:tblPr>
        <w:tblStyle w:val="32"/>
        <w:tblW w:w="0" w:type="auto"/>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096"/>
        <w:gridCol w:w="3797"/>
        <w:gridCol w:w="3956"/>
      </w:tblGrid>
      <w:tr w14:paraId="4DC33025">
        <w:trPr>
          <w:wBefore w:w="0" w:type="dxa"/>
          <w:wAfter w:w="0" w:type="dxa"/>
          <w:tblHeader/>
        </w:trPr>
        <w:tc>
          <w:tcPr>
            <w:tcW w:w="0" w:type="auto"/>
            <w:tcBorders>
              <w:top w:val="single" w:color="A6A6A6" w:sz="4" w:space="0"/>
              <w:left w:val="single" w:color="A6A6A6" w:sz="4" w:space="0"/>
              <w:bottom w:val="single" w:color="A6A6A6" w:sz="4" w:space="0"/>
              <w:right w:val="single" w:color="A6A6A6" w:sz="4" w:space="0"/>
              <w:tl2br w:val="nil"/>
              <w:tr2bl w:val="nil"/>
            </w:tcBorders>
            <w:shd w:val="clear" w:color="auto" w:fill="EDEDED"/>
            <w:noWrap w:val="0"/>
            <w:vAlign w:val="top"/>
          </w:tcPr>
          <w:p w14:paraId="3CD07CA9">
            <w:pPr>
              <w:spacing w:beforeLines="0" w:afterLines="0"/>
              <w:rPr>
                <w:rFonts w:hint="default"/>
                <w:sz w:val="22"/>
                <w:szCs w:val="22"/>
              </w:rPr>
            </w:pPr>
            <w:r>
              <w:rPr>
                <w:rFonts w:hint="default"/>
                <w:sz w:val="22"/>
                <w:szCs w:val="22"/>
              </w:rPr>
              <w:t>状态</w:t>
            </w:r>
          </w:p>
        </w:tc>
        <w:tc>
          <w:tcPr>
            <w:tcW w:w="0" w:type="auto"/>
            <w:tcBorders>
              <w:top w:val="single" w:color="A6A6A6" w:sz="4" w:space="0"/>
              <w:left w:val="single" w:color="A6A6A6" w:sz="4" w:space="0"/>
              <w:bottom w:val="single" w:color="A6A6A6" w:sz="4" w:space="0"/>
              <w:right w:val="single" w:color="A6A6A6" w:sz="4" w:space="0"/>
              <w:tl2br w:val="nil"/>
              <w:tr2bl w:val="nil"/>
            </w:tcBorders>
            <w:shd w:val="clear" w:color="auto" w:fill="EDEDED"/>
            <w:noWrap w:val="0"/>
            <w:vAlign w:val="top"/>
          </w:tcPr>
          <w:p w14:paraId="2933BA92">
            <w:pPr>
              <w:spacing w:beforeLines="0" w:afterLines="0"/>
              <w:rPr>
                <w:rFonts w:hint="default"/>
                <w:sz w:val="22"/>
                <w:szCs w:val="22"/>
              </w:rPr>
            </w:pPr>
            <w:r>
              <w:rPr>
                <w:rFonts w:hint="default"/>
                <w:sz w:val="22"/>
                <w:szCs w:val="22"/>
              </w:rPr>
              <w:t>编辑权限</w:t>
            </w:r>
          </w:p>
        </w:tc>
        <w:tc>
          <w:tcPr>
            <w:tcW w:w="0" w:type="auto"/>
            <w:tcBorders>
              <w:top w:val="single" w:color="A6A6A6" w:sz="4" w:space="0"/>
              <w:left w:val="single" w:color="A6A6A6" w:sz="4" w:space="0"/>
              <w:bottom w:val="single" w:color="A6A6A6" w:sz="4" w:space="0"/>
              <w:right w:val="single" w:color="A6A6A6" w:sz="4" w:space="0"/>
              <w:tl2br w:val="nil"/>
              <w:tr2bl w:val="nil"/>
            </w:tcBorders>
            <w:shd w:val="clear" w:color="auto" w:fill="EDEDED"/>
            <w:noWrap w:val="0"/>
            <w:vAlign w:val="top"/>
          </w:tcPr>
          <w:p w14:paraId="72E214D3">
            <w:pPr>
              <w:spacing w:beforeLines="0" w:afterLines="0"/>
              <w:rPr>
                <w:rFonts w:hint="default"/>
                <w:sz w:val="22"/>
                <w:szCs w:val="22"/>
              </w:rPr>
            </w:pPr>
            <w:r>
              <w:rPr>
                <w:rFonts w:hint="default"/>
                <w:sz w:val="22"/>
                <w:szCs w:val="22"/>
              </w:rPr>
              <w:t>说明</w:t>
            </w:r>
          </w:p>
        </w:tc>
      </w:tr>
      <w:tr w14:paraId="3C57FB5D">
        <w:trPr>
          <w:wBefore w:w="0" w:type="dxa"/>
          <w:wAfter w:w="0" w:type="dxa"/>
        </w:trPr>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6F320181">
            <w:pPr>
              <w:spacing w:beforeLines="0" w:afterLines="0"/>
              <w:rPr>
                <w:rFonts w:hint="default"/>
                <w:sz w:val="22"/>
                <w:szCs w:val="22"/>
              </w:rPr>
            </w:pPr>
            <w:r>
              <w:rPr>
                <w:rFonts w:hint="default"/>
                <w:sz w:val="22"/>
                <w:szCs w:val="22"/>
              </w:rPr>
              <w:t>待评估</w:t>
            </w:r>
          </w:p>
        </w:tc>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4756C5D9">
            <w:pPr>
              <w:spacing w:beforeLines="0" w:afterLines="0"/>
              <w:rPr>
                <w:rFonts w:hint="default"/>
                <w:sz w:val="22"/>
                <w:szCs w:val="22"/>
              </w:rPr>
            </w:pPr>
            <w:r>
              <w:rPr>
                <w:rFonts w:hint="default"/>
                <w:sz w:val="22"/>
                <w:szCs w:val="22"/>
              </w:rPr>
              <w:t>受限（仅可选择继续测试/提交免测）</w:t>
            </w:r>
          </w:p>
        </w:tc>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6CF4BC6C">
            <w:pPr>
              <w:spacing w:beforeLines="0" w:afterLines="0"/>
              <w:rPr>
                <w:rFonts w:hint="default"/>
                <w:sz w:val="22"/>
                <w:szCs w:val="22"/>
              </w:rPr>
            </w:pPr>
            <w:r>
              <w:rPr>
                <w:rFonts w:hint="default"/>
                <w:sz w:val="22"/>
                <w:szCs w:val="22"/>
              </w:rPr>
              <w:t>需求同步后的初始状态</w:t>
            </w:r>
          </w:p>
        </w:tc>
      </w:tr>
      <w:tr w14:paraId="259F8F01">
        <w:trPr>
          <w:wBefore w:w="0" w:type="dxa"/>
          <w:wAfter w:w="0" w:type="dxa"/>
        </w:trPr>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4697C453">
            <w:pPr>
              <w:spacing w:beforeLines="0" w:afterLines="0"/>
              <w:rPr>
                <w:rFonts w:hint="default"/>
                <w:sz w:val="22"/>
                <w:szCs w:val="22"/>
              </w:rPr>
            </w:pPr>
            <w:r>
              <w:rPr>
                <w:rFonts w:hint="default"/>
                <w:sz w:val="22"/>
                <w:szCs w:val="22"/>
              </w:rPr>
              <w:t>继续测试</w:t>
            </w:r>
          </w:p>
        </w:tc>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5199B7F9">
            <w:pPr>
              <w:spacing w:beforeLines="0" w:afterLines="0"/>
              <w:rPr>
                <w:rFonts w:hint="default"/>
                <w:sz w:val="22"/>
                <w:szCs w:val="22"/>
              </w:rPr>
            </w:pPr>
            <w:r>
              <w:rPr>
                <w:rFonts w:hint="default"/>
                <w:sz w:val="22"/>
                <w:szCs w:val="22"/>
              </w:rPr>
              <w:t>可编辑</w:t>
            </w:r>
          </w:p>
        </w:tc>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2350B6B7">
            <w:pPr>
              <w:spacing w:beforeLines="0" w:afterLines="0"/>
              <w:rPr>
                <w:rFonts w:hint="default"/>
                <w:sz w:val="22"/>
                <w:szCs w:val="22"/>
              </w:rPr>
            </w:pPr>
            <w:r>
              <w:rPr>
                <w:rFonts w:hint="default"/>
                <w:sz w:val="22"/>
                <w:szCs w:val="22"/>
              </w:rPr>
              <w:t>测试人员编制计划期间</w:t>
            </w:r>
          </w:p>
        </w:tc>
      </w:tr>
      <w:tr w14:paraId="4214008F">
        <w:trPr>
          <w:wBefore w:w="0" w:type="dxa"/>
          <w:wAfter w:w="0" w:type="dxa"/>
        </w:trPr>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299C3CDD">
            <w:pPr>
              <w:spacing w:beforeLines="0" w:afterLines="0"/>
              <w:rPr>
                <w:rFonts w:hint="default"/>
                <w:sz w:val="22"/>
                <w:szCs w:val="22"/>
              </w:rPr>
            </w:pPr>
            <w:r>
              <w:rPr>
                <w:rFonts w:hint="default"/>
                <w:sz w:val="22"/>
                <w:szCs w:val="22"/>
              </w:rPr>
              <w:t>已提交</w:t>
            </w:r>
          </w:p>
        </w:tc>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61749145">
            <w:pPr>
              <w:spacing w:beforeLines="0" w:afterLines="0"/>
              <w:rPr>
                <w:rFonts w:hint="default"/>
                <w:sz w:val="22"/>
                <w:szCs w:val="22"/>
              </w:rPr>
            </w:pPr>
            <w:r>
              <w:rPr>
                <w:rFonts w:hint="default"/>
                <w:sz w:val="22"/>
                <w:szCs w:val="22"/>
              </w:rPr>
              <w:t>禁止编辑</w:t>
            </w:r>
          </w:p>
        </w:tc>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35424542">
            <w:pPr>
              <w:spacing w:beforeLines="0" w:afterLines="0"/>
              <w:rPr>
                <w:rFonts w:hint="default"/>
                <w:sz w:val="22"/>
                <w:szCs w:val="22"/>
              </w:rPr>
            </w:pPr>
            <w:r>
              <w:rPr>
                <w:rFonts w:hint="default"/>
                <w:sz w:val="22"/>
                <w:szCs w:val="22"/>
              </w:rPr>
              <w:t>等待审批，防止审批内容不一致</w:t>
            </w:r>
          </w:p>
        </w:tc>
      </w:tr>
      <w:tr w14:paraId="70675493">
        <w:trPr>
          <w:wBefore w:w="0" w:type="dxa"/>
          <w:wAfter w:w="0" w:type="dxa"/>
        </w:trPr>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5AE21F4E">
            <w:pPr>
              <w:spacing w:beforeLines="0" w:afterLines="0"/>
              <w:rPr>
                <w:rFonts w:hint="default"/>
                <w:sz w:val="22"/>
                <w:szCs w:val="22"/>
              </w:rPr>
            </w:pPr>
            <w:r>
              <w:rPr>
                <w:rFonts w:hint="default"/>
                <w:sz w:val="22"/>
                <w:szCs w:val="22"/>
              </w:rPr>
              <w:t>已驳回</w:t>
            </w:r>
          </w:p>
        </w:tc>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67BF812B">
            <w:pPr>
              <w:spacing w:beforeLines="0" w:afterLines="0"/>
              <w:rPr>
                <w:rFonts w:hint="default"/>
                <w:sz w:val="22"/>
                <w:szCs w:val="22"/>
              </w:rPr>
            </w:pPr>
            <w:r>
              <w:rPr>
                <w:rFonts w:hint="default"/>
                <w:sz w:val="22"/>
                <w:szCs w:val="22"/>
              </w:rPr>
              <w:t>可编辑</w:t>
            </w:r>
          </w:p>
        </w:tc>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3C636305">
            <w:pPr>
              <w:spacing w:beforeLines="0" w:afterLines="0"/>
              <w:rPr>
                <w:rFonts w:hint="default"/>
                <w:sz w:val="22"/>
                <w:szCs w:val="22"/>
              </w:rPr>
            </w:pPr>
            <w:r>
              <w:rPr>
                <w:rFonts w:hint="default"/>
                <w:sz w:val="22"/>
                <w:szCs w:val="22"/>
              </w:rPr>
              <w:t>修改后重新提交</w:t>
            </w:r>
          </w:p>
        </w:tc>
      </w:tr>
      <w:tr w14:paraId="59F5C2BD">
        <w:trPr>
          <w:wBefore w:w="0" w:type="dxa"/>
          <w:wAfter w:w="0" w:type="dxa"/>
        </w:trPr>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5302C760">
            <w:pPr>
              <w:spacing w:beforeLines="0" w:afterLines="0"/>
              <w:rPr>
                <w:rFonts w:hint="default"/>
                <w:sz w:val="22"/>
                <w:szCs w:val="22"/>
              </w:rPr>
            </w:pPr>
            <w:r>
              <w:rPr>
                <w:rFonts w:hint="default"/>
                <w:sz w:val="22"/>
                <w:szCs w:val="22"/>
              </w:rPr>
              <w:t>审批通过</w:t>
            </w:r>
          </w:p>
        </w:tc>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0EDB71A7">
            <w:pPr>
              <w:spacing w:beforeLines="0" w:afterLines="0"/>
              <w:rPr>
                <w:rFonts w:hint="default"/>
                <w:sz w:val="22"/>
                <w:szCs w:val="22"/>
              </w:rPr>
            </w:pPr>
            <w:r>
              <w:rPr>
                <w:rFonts w:hint="default"/>
                <w:sz w:val="22"/>
                <w:szCs w:val="22"/>
              </w:rPr>
              <w:t>受限</w:t>
            </w:r>
          </w:p>
        </w:tc>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25C0E7FC">
            <w:pPr>
              <w:spacing w:beforeLines="0" w:afterLines="0"/>
              <w:rPr>
                <w:rFonts w:hint="default"/>
                <w:sz w:val="22"/>
                <w:szCs w:val="22"/>
              </w:rPr>
            </w:pPr>
            <w:r>
              <w:rPr>
                <w:rFonts w:hint="default"/>
                <w:sz w:val="22"/>
                <w:szCs w:val="22"/>
              </w:rPr>
              <w:t>计划基础信息锁定，进入执行生命周期</w:t>
            </w:r>
          </w:p>
        </w:tc>
      </w:tr>
      <w:bookmarkEnd w:id="20"/>
      <w:bookmarkEnd w:id="22"/>
    </w:tbl>
    <w:p w14:paraId="430CBAF1">
      <w:pPr>
        <w:pStyle w:val="4"/>
        <w:spacing w:beforeLines="0" w:afterLines="0"/>
        <w:rPr>
          <w:rFonts w:hint="default"/>
          <w:sz w:val="26"/>
          <w:szCs w:val="26"/>
        </w:rPr>
      </w:pPr>
      <w:bookmarkStart w:id="23" w:name="测试用例编制与评审"/>
      <w:r>
        <w:rPr>
          <w:rFonts w:hint="eastAsia" w:ascii="黑体" w:hAnsi="黑体" w:eastAsia="黑体"/>
          <w:sz w:val="26"/>
          <w:szCs w:val="26"/>
        </w:rPr>
        <w:t xml:space="preserve">7 </w:t>
      </w:r>
      <w:r>
        <w:rPr>
          <w:rFonts w:hint="default" w:ascii="ＭＳ ゴシック"/>
          <w:sz w:val="26"/>
          <w:szCs w:val="26"/>
        </w:rPr>
        <w:t>测试用例编制与评审</w:t>
      </w:r>
    </w:p>
    <w:p w14:paraId="407C5BEE">
      <w:pPr>
        <w:pStyle w:val="5"/>
        <w:spacing w:beforeLines="0" w:afterLines="0"/>
        <w:rPr>
          <w:rFonts w:hint="default"/>
          <w:sz w:val="22"/>
          <w:szCs w:val="22"/>
        </w:rPr>
      </w:pPr>
      <w:bookmarkStart w:id="24" w:name="用例编制"/>
      <w:r>
        <w:rPr>
          <w:rFonts w:hint="eastAsia" w:ascii="黑体" w:hAnsi="黑体" w:eastAsia="黑体"/>
          <w:sz w:val="22"/>
          <w:szCs w:val="22"/>
        </w:rPr>
        <w:t xml:space="preserve">7.1 </w:t>
      </w:r>
      <w:r>
        <w:rPr>
          <w:rFonts w:hint="default" w:ascii="ＭＳ ゴシック"/>
          <w:sz w:val="22"/>
          <w:szCs w:val="22"/>
        </w:rPr>
        <w:t>用例编制</w:t>
      </w:r>
    </w:p>
    <w:p w14:paraId="4ADC3293">
      <w:pPr>
        <w:spacing w:beforeLines="0" w:afterLines="0"/>
        <w:rPr>
          <w:rFonts w:hint="default"/>
          <w:sz w:val="22"/>
          <w:szCs w:val="22"/>
        </w:rPr>
      </w:pPr>
      <w:r>
        <w:rPr>
          <w:rFonts w:hint="default"/>
          <w:sz w:val="22"/>
          <w:szCs w:val="22"/>
        </w:rPr>
        <w:t>测试工程师接收正式测试任务后，依据测试计划和需求规格说明书编制测试用例。</w:t>
      </w:r>
    </w:p>
    <w:p w14:paraId="6105C2EE">
      <w:pPr>
        <w:pStyle w:val="19"/>
        <w:spacing w:beforeLines="0" w:afterLines="0"/>
        <w:rPr>
          <w:rFonts w:hint="default"/>
          <w:sz w:val="22"/>
          <w:szCs w:val="22"/>
        </w:rPr>
      </w:pPr>
      <w:r>
        <w:rPr>
          <w:rFonts w:hint="default"/>
          <w:sz w:val="22"/>
          <w:szCs w:val="22"/>
        </w:rPr>
        <w:t>每条测试用例须完整包含以下四要素：操作步骤、预期结果、测试预置数据、潜在风险点。</w:t>
      </w:r>
    </w:p>
    <w:p w14:paraId="4AFA68D9">
      <w:pPr>
        <w:pStyle w:val="19"/>
        <w:spacing w:beforeLines="0" w:afterLines="0"/>
        <w:rPr>
          <w:rFonts w:hint="default"/>
          <w:sz w:val="22"/>
          <w:szCs w:val="22"/>
        </w:rPr>
      </w:pPr>
      <w:r>
        <w:rPr>
          <w:rFonts w:hint="default"/>
          <w:sz w:val="22"/>
          <w:szCs w:val="22"/>
        </w:rPr>
        <w:t>编制标准要求：</w:t>
      </w:r>
    </w:p>
    <w:p w14:paraId="4F29C39B">
      <w:pPr>
        <w:numPr>
          <w:ilvl w:val="0"/>
          <w:numId w:val="8"/>
        </w:numPr>
        <w:spacing w:beforeLines="0" w:afterLines="0"/>
        <w:rPr>
          <w:rFonts w:hint="default"/>
          <w:sz w:val="22"/>
          <w:szCs w:val="22"/>
        </w:rPr>
      </w:pPr>
      <w:r>
        <w:rPr>
          <w:rFonts w:hint="default"/>
          <w:sz w:val="22"/>
          <w:szCs w:val="22"/>
        </w:rPr>
        <w:t>统一使用系统内置用例模板，必填字段完整填写</w:t>
      </w:r>
    </w:p>
    <w:p w14:paraId="6ABD3A45">
      <w:pPr>
        <w:numPr>
          <w:ilvl w:val="0"/>
          <w:numId w:val="8"/>
        </w:numPr>
        <w:spacing w:beforeLines="0" w:afterLines="0"/>
        <w:rPr>
          <w:rFonts w:hint="default"/>
          <w:sz w:val="22"/>
          <w:szCs w:val="22"/>
        </w:rPr>
      </w:pPr>
      <w:r>
        <w:rPr>
          <w:rFonts w:hint="default"/>
          <w:sz w:val="22"/>
          <w:szCs w:val="22"/>
        </w:rPr>
        <w:t>全覆盖需求规格说明书中全部功能点、业务规则和交互逻辑</w:t>
      </w:r>
    </w:p>
    <w:p w14:paraId="5C82E8C6">
      <w:pPr>
        <w:numPr>
          <w:ilvl w:val="0"/>
          <w:numId w:val="8"/>
        </w:numPr>
        <w:spacing w:beforeLines="0" w:afterLines="0"/>
        <w:rPr>
          <w:rFonts w:hint="default"/>
          <w:sz w:val="22"/>
          <w:szCs w:val="22"/>
        </w:rPr>
      </w:pPr>
      <w:r>
        <w:rPr>
          <w:rFonts w:hint="default"/>
          <w:sz w:val="22"/>
          <w:szCs w:val="22"/>
        </w:rPr>
        <w:t>用例优先级标注为 P0（高优先级）、P1（一般优先级）或 P2（低优先级）</w:t>
      </w:r>
    </w:p>
    <w:p w14:paraId="77C7F342">
      <w:pPr>
        <w:numPr>
          <w:ilvl w:val="0"/>
          <w:numId w:val="8"/>
        </w:numPr>
        <w:spacing w:beforeLines="0" w:afterLines="0"/>
        <w:rPr>
          <w:rFonts w:hint="default"/>
          <w:sz w:val="22"/>
          <w:szCs w:val="22"/>
        </w:rPr>
      </w:pPr>
      <w:r>
        <w:rPr>
          <w:rFonts w:hint="default"/>
          <w:sz w:val="22"/>
          <w:szCs w:val="22"/>
        </w:rPr>
        <w:t>必覆盖边界值、极值、空值、非法输入和多分支流程等异常场景</w:t>
      </w:r>
    </w:p>
    <w:p w14:paraId="512C3D42">
      <w:pPr>
        <w:numPr>
          <w:ilvl w:val="0"/>
          <w:numId w:val="8"/>
        </w:numPr>
        <w:spacing w:beforeLines="0" w:afterLines="0"/>
        <w:rPr>
          <w:rFonts w:hint="default"/>
          <w:sz w:val="22"/>
          <w:szCs w:val="22"/>
        </w:rPr>
      </w:pPr>
      <w:r>
        <w:rPr>
          <w:rFonts w:hint="default"/>
          <w:sz w:val="22"/>
          <w:szCs w:val="22"/>
        </w:rPr>
        <w:t>兼顾主流程正向操作、逆向回退和中断重试等反向场景</w:t>
      </w:r>
    </w:p>
    <w:p w14:paraId="6C4748ED">
      <w:pPr>
        <w:numPr>
          <w:ilvl w:val="0"/>
          <w:numId w:val="8"/>
        </w:numPr>
        <w:spacing w:beforeLines="0" w:afterLines="0"/>
        <w:rPr>
          <w:rFonts w:hint="default"/>
          <w:sz w:val="22"/>
          <w:szCs w:val="22"/>
        </w:rPr>
      </w:pPr>
      <w:r>
        <w:rPr>
          <w:rFonts w:hint="default"/>
          <w:sz w:val="22"/>
          <w:szCs w:val="22"/>
        </w:rPr>
        <w:t>操作步骤分步拆解，明确前置环境、页面路径和操作动作</w:t>
      </w:r>
    </w:p>
    <w:p w14:paraId="7CBC08B4">
      <w:pPr>
        <w:numPr>
          <w:ilvl w:val="0"/>
          <w:numId w:val="8"/>
        </w:numPr>
        <w:spacing w:beforeLines="0" w:afterLines="0"/>
        <w:rPr>
          <w:rFonts w:hint="default"/>
          <w:sz w:val="22"/>
          <w:szCs w:val="22"/>
        </w:rPr>
      </w:pPr>
      <w:r>
        <w:rPr>
          <w:rFonts w:hint="default"/>
          <w:sz w:val="22"/>
          <w:szCs w:val="22"/>
        </w:rPr>
        <w:t>预期结果区分页面展示、数据存储、接口返回和日志输出四类校验项</w:t>
      </w:r>
    </w:p>
    <w:p w14:paraId="678DBB30">
      <w:pPr>
        <w:numPr>
          <w:ilvl w:val="0"/>
          <w:numId w:val="8"/>
        </w:numPr>
        <w:spacing w:beforeLines="0" w:afterLines="0"/>
        <w:rPr>
          <w:rFonts w:hint="default"/>
          <w:sz w:val="22"/>
          <w:szCs w:val="22"/>
        </w:rPr>
      </w:pPr>
      <w:r>
        <w:rPr>
          <w:rFonts w:hint="default"/>
          <w:sz w:val="22"/>
          <w:szCs w:val="22"/>
        </w:rPr>
        <w:t>风险点标注执行阻塞点、数据污染风险、环境依赖风险和业务合规风险，同步配套规避说明</w:t>
      </w:r>
    </w:p>
    <w:bookmarkEnd w:id="24"/>
    <w:p w14:paraId="309BF4FB">
      <w:pPr>
        <w:pStyle w:val="5"/>
        <w:spacing w:beforeLines="0" w:afterLines="0"/>
        <w:rPr>
          <w:rFonts w:hint="default"/>
          <w:sz w:val="22"/>
          <w:szCs w:val="22"/>
        </w:rPr>
      </w:pPr>
      <w:bookmarkStart w:id="25" w:name="用例评审"/>
      <w:r>
        <w:rPr>
          <w:rFonts w:hint="eastAsia" w:ascii="黑体" w:hAnsi="黑体" w:eastAsia="黑体"/>
          <w:sz w:val="22"/>
          <w:szCs w:val="22"/>
        </w:rPr>
        <w:t xml:space="preserve">7.2 </w:t>
      </w:r>
      <w:r>
        <w:rPr>
          <w:rFonts w:hint="default" w:ascii="ＭＳ ゴシック"/>
          <w:sz w:val="22"/>
          <w:szCs w:val="22"/>
        </w:rPr>
        <w:t>用例评审</w:t>
      </w:r>
    </w:p>
    <w:p w14:paraId="49D7086B">
      <w:pPr>
        <w:spacing w:beforeLines="0" w:afterLines="0"/>
        <w:rPr>
          <w:rFonts w:hint="default"/>
          <w:sz w:val="22"/>
          <w:szCs w:val="22"/>
        </w:rPr>
      </w:pPr>
      <w:r>
        <w:rPr>
          <w:rFonts w:hint="default"/>
          <w:sz w:val="22"/>
          <w:szCs w:val="22"/>
        </w:rPr>
        <w:t>全部用例编制完成后，由测试团队负责人组织评审。系统应支持以下评审流程：</w:t>
      </w:r>
    </w:p>
    <w:p w14:paraId="68FCB09C">
      <w:pPr>
        <w:pStyle w:val="19"/>
        <w:spacing w:beforeLines="0" w:afterLines="0"/>
        <w:rPr>
          <w:rFonts w:hint="default"/>
          <w:sz w:val="22"/>
          <w:szCs w:val="22"/>
        </w:rPr>
      </w:pPr>
      <w:r>
        <w:rPr>
          <w:rFonts w:hint="default"/>
          <w:b/>
          <w:sz w:val="22"/>
          <w:szCs w:val="22"/>
        </w:rPr>
        <w:t>评审参与方</w:t>
      </w:r>
      <w:r>
        <w:rPr>
          <w:rFonts w:hint="default"/>
          <w:sz w:val="22"/>
          <w:szCs w:val="22"/>
        </w:rPr>
        <w:t>：测试总负责人、对应模块测试工程师、相关开发骨干和业务需求人员按需参会。</w:t>
      </w:r>
    </w:p>
    <w:p w14:paraId="631D445B">
      <w:pPr>
        <w:pStyle w:val="19"/>
        <w:spacing w:beforeLines="0" w:afterLines="0"/>
        <w:rPr>
          <w:rFonts w:hint="default"/>
          <w:sz w:val="22"/>
          <w:szCs w:val="22"/>
        </w:rPr>
      </w:pPr>
      <w:r>
        <w:rPr>
          <w:rFonts w:hint="default"/>
          <w:b/>
          <w:sz w:val="22"/>
          <w:szCs w:val="22"/>
        </w:rPr>
        <w:t>评审标准</w:t>
      </w:r>
      <w:r>
        <w:rPr>
          <w:rFonts w:hint="default"/>
          <w:sz w:val="22"/>
          <w:szCs w:val="22"/>
        </w:rPr>
        <w:t>：</w:t>
      </w:r>
    </w:p>
    <w:p w14:paraId="1EFDE776">
      <w:pPr>
        <w:numPr>
          <w:ilvl w:val="0"/>
          <w:numId w:val="8"/>
        </w:numPr>
        <w:spacing w:beforeLines="0" w:afterLines="0"/>
        <w:rPr>
          <w:rFonts w:hint="default"/>
          <w:sz w:val="22"/>
          <w:szCs w:val="22"/>
        </w:rPr>
      </w:pPr>
      <w:r>
        <w:rPr>
          <w:rFonts w:hint="default"/>
          <w:sz w:val="22"/>
          <w:szCs w:val="22"/>
        </w:rPr>
        <w:t>核对需求条目与用例一一对应，不存在功能点遗漏或分支场景缺失</w:t>
      </w:r>
    </w:p>
    <w:p w14:paraId="60C7F45E">
      <w:pPr>
        <w:numPr>
          <w:ilvl w:val="0"/>
          <w:numId w:val="8"/>
        </w:numPr>
        <w:spacing w:beforeLines="0" w:afterLines="0"/>
        <w:rPr>
          <w:rFonts w:hint="default"/>
          <w:sz w:val="22"/>
          <w:szCs w:val="22"/>
        </w:rPr>
      </w:pPr>
      <w:r>
        <w:rPr>
          <w:rFonts w:hint="default"/>
          <w:sz w:val="22"/>
          <w:szCs w:val="22"/>
        </w:rPr>
        <w:t>业务流程顺序符合真实业务操作逻辑，步骤无矛盾、无重复冗余</w:t>
      </w:r>
    </w:p>
    <w:p w14:paraId="2594CD78">
      <w:pPr>
        <w:numPr>
          <w:ilvl w:val="0"/>
          <w:numId w:val="8"/>
        </w:numPr>
        <w:spacing w:beforeLines="0" w:afterLines="0"/>
        <w:rPr>
          <w:rFonts w:hint="default"/>
          <w:sz w:val="22"/>
          <w:szCs w:val="22"/>
        </w:rPr>
      </w:pPr>
      <w:r>
        <w:rPr>
          <w:rFonts w:hint="default"/>
          <w:sz w:val="22"/>
          <w:szCs w:val="22"/>
        </w:rPr>
        <w:t>每条用例四要素齐全，描述客观清晰，第三方人员可独立复现</w:t>
      </w:r>
    </w:p>
    <w:p w14:paraId="4BF355A9">
      <w:pPr>
        <w:numPr>
          <w:ilvl w:val="0"/>
          <w:numId w:val="8"/>
        </w:numPr>
        <w:spacing w:beforeLines="0" w:afterLines="0"/>
        <w:rPr>
          <w:rFonts w:hint="default"/>
          <w:sz w:val="22"/>
          <w:szCs w:val="22"/>
        </w:rPr>
      </w:pPr>
      <w:r>
        <w:rPr>
          <w:rFonts w:hint="default"/>
          <w:sz w:val="22"/>
          <w:szCs w:val="22"/>
        </w:rPr>
        <w:t>用例标注风险点识别准确，高风险场景配套专项校验用例</w:t>
      </w:r>
    </w:p>
    <w:p w14:paraId="5AA53AD7">
      <w:pPr>
        <w:spacing w:beforeLines="0" w:afterLines="0"/>
        <w:rPr>
          <w:rFonts w:hint="default"/>
          <w:sz w:val="22"/>
          <w:szCs w:val="22"/>
        </w:rPr>
      </w:pPr>
      <w:r>
        <w:rPr>
          <w:rFonts w:hint="default"/>
          <w:b/>
          <w:sz w:val="22"/>
          <w:szCs w:val="22"/>
        </w:rPr>
        <w:t>评审闭环</w:t>
      </w:r>
      <w:r>
        <w:rPr>
          <w:rFonts w:hint="default"/>
          <w:sz w:val="22"/>
          <w:szCs w:val="22"/>
        </w:rPr>
        <w:t>：评审修改问题逐条记录，明确整改责任人与完成时限。整改完成后二次复核，全部问题闭环方可通过评审。未通过评审的用例禁止进入测试执行阶段。</w:t>
      </w:r>
    </w:p>
    <w:p w14:paraId="63497F67">
      <w:pPr>
        <w:pStyle w:val="19"/>
        <w:spacing w:beforeLines="0" w:afterLines="0"/>
        <w:rPr>
          <w:rFonts w:hint="default"/>
          <w:sz w:val="22"/>
          <w:szCs w:val="22"/>
        </w:rPr>
      </w:pPr>
      <w:r>
        <w:rPr>
          <w:rFonts w:hint="default"/>
          <w:sz w:val="22"/>
          <w:szCs w:val="22"/>
        </w:rPr>
        <w:t>系统应支持测试团队负责人在测试平台上传评审结果及评审后测试用例，上传完成后自动触发全研发平台状态同步。未通过评审的用例禁止进入测试执行阶段。</w:t>
      </w:r>
    </w:p>
    <w:p w14:paraId="5D3CC6C9">
      <w:pPr>
        <w:pStyle w:val="19"/>
        <w:spacing w:beforeLines="0" w:afterLines="0"/>
        <w:rPr>
          <w:rFonts w:hint="default"/>
          <w:sz w:val="22"/>
          <w:szCs w:val="22"/>
        </w:rPr>
      </w:pPr>
      <w:r>
        <w:rPr>
          <w:rFonts w:hint="default"/>
          <w:sz w:val="22"/>
          <w:szCs w:val="22"/>
        </w:rPr>
        <w:t>评审结果上传后，系统更新全研发平台状态为”测试执行环节”。</w:t>
      </w:r>
    </w:p>
    <w:bookmarkEnd w:id="23"/>
    <w:bookmarkEnd w:id="25"/>
    <w:p w14:paraId="107C4EFD">
      <w:pPr>
        <w:pStyle w:val="4"/>
        <w:spacing w:beforeLines="0" w:afterLines="0"/>
        <w:rPr>
          <w:rFonts w:hint="default"/>
          <w:sz w:val="26"/>
          <w:szCs w:val="26"/>
        </w:rPr>
      </w:pPr>
      <w:bookmarkStart w:id="26" w:name="测试执行"/>
      <w:r>
        <w:rPr>
          <w:rFonts w:hint="eastAsia" w:ascii="黑体" w:hAnsi="黑体" w:eastAsia="黑体"/>
          <w:sz w:val="26"/>
          <w:szCs w:val="26"/>
        </w:rPr>
        <w:t xml:space="preserve">8 </w:t>
      </w:r>
      <w:r>
        <w:rPr>
          <w:rFonts w:hint="default" w:ascii="ＭＳ ゴシック"/>
          <w:sz w:val="26"/>
          <w:szCs w:val="26"/>
        </w:rPr>
        <w:t>测试执行</w:t>
      </w:r>
    </w:p>
    <w:p w14:paraId="53BFD288">
      <w:pPr>
        <w:pStyle w:val="5"/>
        <w:spacing w:beforeLines="0" w:afterLines="0"/>
        <w:rPr>
          <w:rFonts w:hint="default"/>
          <w:sz w:val="22"/>
          <w:szCs w:val="22"/>
        </w:rPr>
      </w:pPr>
      <w:bookmarkStart w:id="27" w:name="启动条件"/>
      <w:r>
        <w:rPr>
          <w:rFonts w:hint="eastAsia" w:ascii="黑体" w:hAnsi="黑体" w:eastAsia="黑体"/>
          <w:sz w:val="22"/>
          <w:szCs w:val="22"/>
        </w:rPr>
        <w:t xml:space="preserve">8.1 </w:t>
      </w:r>
      <w:r>
        <w:rPr>
          <w:rFonts w:hint="default" w:ascii="ＭＳ ゴシック"/>
          <w:sz w:val="22"/>
          <w:szCs w:val="22"/>
        </w:rPr>
        <w:t>启动条件</w:t>
      </w:r>
    </w:p>
    <w:p w14:paraId="2A95F6D7">
      <w:pPr>
        <w:spacing w:beforeLines="0" w:afterLines="0"/>
        <w:rPr>
          <w:rFonts w:hint="default"/>
          <w:sz w:val="22"/>
          <w:szCs w:val="22"/>
        </w:rPr>
      </w:pPr>
      <w:r>
        <w:rPr>
          <w:rFonts w:hint="default"/>
          <w:sz w:val="22"/>
          <w:szCs w:val="22"/>
        </w:rPr>
        <w:t>全研发平台发送开发实际完成时间后，系统允许启动测试执行。系统应校验以下准入条件：</w:t>
      </w:r>
    </w:p>
    <w:p w14:paraId="3E9CE572">
      <w:pPr>
        <w:numPr>
          <w:ilvl w:val="0"/>
          <w:numId w:val="8"/>
        </w:numPr>
        <w:spacing w:beforeLines="0" w:afterLines="0"/>
        <w:rPr>
          <w:rFonts w:hint="default"/>
          <w:sz w:val="22"/>
          <w:szCs w:val="22"/>
        </w:rPr>
      </w:pPr>
      <w:r>
        <w:rPr>
          <w:rFonts w:hint="default"/>
          <w:sz w:val="22"/>
          <w:szCs w:val="22"/>
        </w:rPr>
        <w:t>开发完成自测并提交提测材料（版本包、部署文档等）</w:t>
      </w:r>
    </w:p>
    <w:p w14:paraId="3CE46DE6">
      <w:pPr>
        <w:numPr>
          <w:ilvl w:val="0"/>
          <w:numId w:val="8"/>
        </w:numPr>
        <w:spacing w:beforeLines="0" w:afterLines="0"/>
        <w:rPr>
          <w:rFonts w:hint="default"/>
          <w:sz w:val="22"/>
          <w:szCs w:val="22"/>
        </w:rPr>
      </w:pPr>
      <w:r>
        <w:rPr>
          <w:rFonts w:hint="default"/>
          <w:sz w:val="22"/>
          <w:szCs w:val="22"/>
        </w:rPr>
        <w:t>测试用例已通过评审</w:t>
      </w:r>
    </w:p>
    <w:bookmarkEnd w:id="27"/>
    <w:p w14:paraId="7CC5B17A">
      <w:pPr>
        <w:pStyle w:val="5"/>
        <w:spacing w:beforeLines="0" w:afterLines="0"/>
        <w:rPr>
          <w:rFonts w:hint="default"/>
          <w:sz w:val="22"/>
          <w:szCs w:val="22"/>
        </w:rPr>
      </w:pPr>
      <w:bookmarkStart w:id="28" w:name="执行要求"/>
      <w:r>
        <w:rPr>
          <w:rFonts w:hint="eastAsia" w:ascii="黑体" w:hAnsi="黑体" w:eastAsia="黑体"/>
          <w:sz w:val="22"/>
          <w:szCs w:val="22"/>
        </w:rPr>
        <w:t xml:space="preserve">8.2 </w:t>
      </w:r>
      <w:r>
        <w:rPr>
          <w:rFonts w:hint="default" w:ascii="ＭＳ ゴシック"/>
          <w:sz w:val="22"/>
          <w:szCs w:val="22"/>
        </w:rPr>
        <w:t>执行要求</w:t>
      </w:r>
    </w:p>
    <w:p w14:paraId="72A44058">
      <w:pPr>
        <w:spacing w:beforeLines="0" w:afterLines="0"/>
        <w:rPr>
          <w:rFonts w:hint="default"/>
          <w:sz w:val="22"/>
          <w:szCs w:val="22"/>
        </w:rPr>
      </w:pPr>
      <w:r>
        <w:rPr>
          <w:rFonts w:hint="default"/>
          <w:sz w:val="22"/>
          <w:szCs w:val="22"/>
        </w:rPr>
        <w:t>测试工程师依据评审定稿的测试用例逐轮执行，系统应支持以下执行管理：</w:t>
      </w:r>
    </w:p>
    <w:p w14:paraId="29E193CB">
      <w:pPr>
        <w:numPr>
          <w:ilvl w:val="0"/>
          <w:numId w:val="8"/>
        </w:numPr>
        <w:spacing w:beforeLines="0" w:afterLines="0"/>
        <w:rPr>
          <w:rFonts w:hint="default"/>
          <w:sz w:val="22"/>
          <w:szCs w:val="22"/>
        </w:rPr>
      </w:pPr>
      <w:r>
        <w:rPr>
          <w:rFonts w:hint="default"/>
          <w:sz w:val="22"/>
          <w:szCs w:val="22"/>
        </w:rPr>
        <w:t>严格按照用例前置条件与操作步骤顺序执行</w:t>
      </w:r>
    </w:p>
    <w:p w14:paraId="669FBD98">
      <w:pPr>
        <w:numPr>
          <w:ilvl w:val="0"/>
          <w:numId w:val="8"/>
        </w:numPr>
        <w:spacing w:beforeLines="0" w:afterLines="0"/>
        <w:rPr>
          <w:rFonts w:hint="default"/>
          <w:sz w:val="22"/>
          <w:szCs w:val="22"/>
        </w:rPr>
      </w:pPr>
      <w:r>
        <w:rPr>
          <w:rFonts w:hint="default"/>
          <w:sz w:val="22"/>
          <w:szCs w:val="22"/>
        </w:rPr>
        <w:t>每条用例独立执行，执行前恢复初始环境</w:t>
      </w:r>
    </w:p>
    <w:p w14:paraId="1444BEA1">
      <w:pPr>
        <w:numPr>
          <w:ilvl w:val="0"/>
          <w:numId w:val="8"/>
        </w:numPr>
        <w:spacing w:beforeLines="0" w:afterLines="0"/>
        <w:rPr>
          <w:rFonts w:hint="default"/>
          <w:sz w:val="22"/>
          <w:szCs w:val="22"/>
        </w:rPr>
      </w:pPr>
      <w:r>
        <w:rPr>
          <w:rFonts w:hint="default"/>
          <w:sz w:val="22"/>
          <w:szCs w:val="22"/>
        </w:rPr>
        <w:t>优先执行 P0 级别用例</w:t>
      </w:r>
    </w:p>
    <w:p w14:paraId="6627829A">
      <w:pPr>
        <w:numPr>
          <w:ilvl w:val="0"/>
          <w:numId w:val="8"/>
        </w:numPr>
        <w:spacing w:beforeLines="0" w:afterLines="0"/>
        <w:rPr>
          <w:rFonts w:hint="default"/>
          <w:sz w:val="22"/>
          <w:szCs w:val="22"/>
        </w:rPr>
      </w:pPr>
      <w:r>
        <w:rPr>
          <w:rFonts w:hint="default"/>
          <w:sz w:val="22"/>
          <w:szCs w:val="22"/>
        </w:rPr>
        <w:t>边界值、异常值和非法输入必须全覆盖</w:t>
      </w:r>
    </w:p>
    <w:bookmarkEnd w:id="28"/>
    <w:p w14:paraId="1ED51BDF">
      <w:pPr>
        <w:pStyle w:val="5"/>
        <w:spacing w:beforeLines="0" w:afterLines="0"/>
        <w:rPr>
          <w:rFonts w:hint="default"/>
          <w:sz w:val="22"/>
          <w:szCs w:val="22"/>
        </w:rPr>
      </w:pPr>
      <w:bookmarkStart w:id="29" w:name="执行判定"/>
      <w:r>
        <w:rPr>
          <w:rFonts w:hint="eastAsia" w:ascii="黑体" w:hAnsi="黑体" w:eastAsia="黑体"/>
          <w:sz w:val="22"/>
          <w:szCs w:val="22"/>
        </w:rPr>
        <w:t xml:space="preserve">8.3 </w:t>
      </w:r>
      <w:r>
        <w:rPr>
          <w:rFonts w:hint="default" w:ascii="ＭＳ ゴシック"/>
          <w:sz w:val="22"/>
          <w:szCs w:val="22"/>
        </w:rPr>
        <w:t>执行判定</w:t>
      </w:r>
    </w:p>
    <w:tbl>
      <w:tblPr>
        <w:tblStyle w:val="32"/>
        <w:tblW w:w="5000" w:type="pct"/>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fixed"/>
        <w:tblCellMar>
          <w:top w:w="0" w:type="dxa"/>
          <w:left w:w="108" w:type="dxa"/>
          <w:bottom w:w="0" w:type="dxa"/>
          <w:right w:w="108" w:type="dxa"/>
        </w:tblCellMar>
      </w:tblPr>
      <w:tblGrid>
        <w:gridCol w:w="4428"/>
        <w:gridCol w:w="4428"/>
      </w:tblGrid>
      <w:tr w14:paraId="0DFF5ED9">
        <w:trPr>
          <w:wBefore w:w="0" w:type="dxa"/>
          <w:wAfter w:w="0" w:type="dxa"/>
          <w:tblHeader/>
        </w:trPr>
        <w:tc>
          <w:tcPr>
            <w:tcW w:w="0" w:type="auto"/>
            <w:tcBorders>
              <w:top w:val="single" w:color="A6A6A6" w:sz="4" w:space="0"/>
              <w:left w:val="single" w:color="A6A6A6" w:sz="4" w:space="0"/>
              <w:bottom w:val="single" w:color="A6A6A6" w:sz="4" w:space="0"/>
              <w:right w:val="single" w:color="A6A6A6" w:sz="4" w:space="0"/>
              <w:tl2br w:val="nil"/>
              <w:tr2bl w:val="nil"/>
            </w:tcBorders>
            <w:shd w:val="clear" w:color="auto" w:fill="EDEDED"/>
            <w:noWrap w:val="0"/>
            <w:vAlign w:val="top"/>
          </w:tcPr>
          <w:p w14:paraId="79C0A157">
            <w:pPr>
              <w:spacing w:beforeLines="0" w:afterLines="0"/>
              <w:rPr>
                <w:rFonts w:hint="default"/>
                <w:sz w:val="22"/>
                <w:szCs w:val="22"/>
              </w:rPr>
            </w:pPr>
            <w:r>
              <w:rPr>
                <w:rFonts w:hint="default"/>
                <w:sz w:val="22"/>
                <w:szCs w:val="22"/>
              </w:rPr>
              <w:t>判定结果</w:t>
            </w:r>
          </w:p>
        </w:tc>
        <w:tc>
          <w:tcPr>
            <w:tcW w:w="0" w:type="auto"/>
            <w:tcBorders>
              <w:top w:val="single" w:color="A6A6A6" w:sz="4" w:space="0"/>
              <w:left w:val="single" w:color="A6A6A6" w:sz="4" w:space="0"/>
              <w:bottom w:val="single" w:color="A6A6A6" w:sz="4" w:space="0"/>
              <w:right w:val="single" w:color="A6A6A6" w:sz="4" w:space="0"/>
              <w:tl2br w:val="nil"/>
              <w:tr2bl w:val="nil"/>
            </w:tcBorders>
            <w:shd w:val="clear" w:color="auto" w:fill="EDEDED"/>
            <w:noWrap w:val="0"/>
            <w:vAlign w:val="top"/>
          </w:tcPr>
          <w:p w14:paraId="15919BF2">
            <w:pPr>
              <w:spacing w:beforeLines="0" w:afterLines="0"/>
              <w:rPr>
                <w:rFonts w:hint="default"/>
                <w:sz w:val="22"/>
                <w:szCs w:val="22"/>
              </w:rPr>
            </w:pPr>
            <w:r>
              <w:rPr>
                <w:rFonts w:hint="default"/>
                <w:sz w:val="22"/>
                <w:szCs w:val="22"/>
              </w:rPr>
              <w:t>判定标准</w:t>
            </w:r>
          </w:p>
        </w:tc>
      </w:tr>
      <w:tr w14:paraId="76018566">
        <w:trPr>
          <w:wBefore w:w="0" w:type="dxa"/>
          <w:wAfter w:w="0" w:type="dxa"/>
        </w:trPr>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34092B32">
            <w:pPr>
              <w:spacing w:beforeLines="0" w:afterLines="0"/>
              <w:rPr>
                <w:rFonts w:hint="default"/>
                <w:sz w:val="22"/>
                <w:szCs w:val="22"/>
              </w:rPr>
            </w:pPr>
            <w:r>
              <w:rPr>
                <w:rFonts w:hint="default"/>
                <w:sz w:val="22"/>
                <w:szCs w:val="22"/>
              </w:rPr>
              <w:t>通过</w:t>
            </w:r>
          </w:p>
        </w:tc>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5A99E264">
            <w:pPr>
              <w:spacing w:beforeLines="0" w:afterLines="0"/>
              <w:rPr>
                <w:rFonts w:hint="default"/>
                <w:sz w:val="22"/>
                <w:szCs w:val="22"/>
              </w:rPr>
            </w:pPr>
            <w:r>
              <w:rPr>
                <w:rFonts w:hint="default"/>
                <w:sz w:val="22"/>
                <w:szCs w:val="22"/>
              </w:rPr>
              <w:t>实际输出与用例预期结果完全一致</w:t>
            </w:r>
          </w:p>
        </w:tc>
      </w:tr>
      <w:tr w14:paraId="43E59E9F">
        <w:trPr>
          <w:wBefore w:w="0" w:type="dxa"/>
          <w:wAfter w:w="0" w:type="dxa"/>
        </w:trPr>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70B4D528">
            <w:pPr>
              <w:spacing w:beforeLines="0" w:afterLines="0"/>
              <w:rPr>
                <w:rFonts w:hint="default"/>
                <w:sz w:val="22"/>
                <w:szCs w:val="22"/>
              </w:rPr>
            </w:pPr>
            <w:r>
              <w:rPr>
                <w:rFonts w:hint="default"/>
                <w:sz w:val="22"/>
                <w:szCs w:val="22"/>
              </w:rPr>
              <w:t>不通过</w:t>
            </w:r>
          </w:p>
        </w:tc>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70B3C79B">
            <w:pPr>
              <w:spacing w:beforeLines="0" w:afterLines="0"/>
              <w:rPr>
                <w:rFonts w:hint="default"/>
                <w:sz w:val="22"/>
                <w:szCs w:val="22"/>
              </w:rPr>
            </w:pPr>
            <w:r>
              <w:rPr>
                <w:rFonts w:hint="default"/>
                <w:sz w:val="22"/>
                <w:szCs w:val="22"/>
              </w:rPr>
              <w:t>实际输出与用例预期不符</w:t>
            </w:r>
          </w:p>
        </w:tc>
      </w:tr>
      <w:tr w14:paraId="7927583A">
        <w:trPr>
          <w:wBefore w:w="0" w:type="dxa"/>
          <w:wAfter w:w="0" w:type="dxa"/>
        </w:trPr>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04A6ABB1">
            <w:pPr>
              <w:spacing w:beforeLines="0" w:afterLines="0"/>
              <w:rPr>
                <w:rFonts w:hint="default"/>
                <w:sz w:val="22"/>
                <w:szCs w:val="22"/>
              </w:rPr>
            </w:pPr>
            <w:r>
              <w:rPr>
                <w:rFonts w:hint="default"/>
                <w:sz w:val="22"/>
                <w:szCs w:val="22"/>
              </w:rPr>
              <w:t>阻塞</w:t>
            </w:r>
          </w:p>
        </w:tc>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6153A87C">
            <w:pPr>
              <w:spacing w:beforeLines="0" w:afterLines="0"/>
              <w:rPr>
                <w:rFonts w:hint="default"/>
                <w:sz w:val="22"/>
                <w:szCs w:val="22"/>
              </w:rPr>
            </w:pPr>
            <w:r>
              <w:rPr>
                <w:rFonts w:hint="default"/>
                <w:sz w:val="22"/>
                <w:szCs w:val="22"/>
              </w:rPr>
              <w:t>当前用例无法完成测试，非用例逻辑问题（如环境崩溃、服务失效、前置依赖缺陷未修复）</w:t>
            </w:r>
          </w:p>
        </w:tc>
      </w:tr>
      <w:tr w14:paraId="3E4B056E">
        <w:trPr>
          <w:wBefore w:w="0" w:type="dxa"/>
          <w:wAfter w:w="0" w:type="dxa"/>
        </w:trPr>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1E96A891">
            <w:pPr>
              <w:spacing w:beforeLines="0" w:afterLines="0"/>
              <w:rPr>
                <w:rFonts w:hint="default"/>
                <w:sz w:val="22"/>
                <w:szCs w:val="22"/>
              </w:rPr>
            </w:pPr>
            <w:r>
              <w:rPr>
                <w:rFonts w:hint="default"/>
                <w:sz w:val="22"/>
                <w:szCs w:val="22"/>
              </w:rPr>
              <w:t>跳过</w:t>
            </w:r>
          </w:p>
        </w:tc>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462945DC">
            <w:pPr>
              <w:spacing w:beforeLines="0" w:afterLines="0"/>
              <w:rPr>
                <w:rFonts w:hint="default"/>
                <w:sz w:val="22"/>
                <w:szCs w:val="22"/>
              </w:rPr>
            </w:pPr>
            <w:r>
              <w:rPr>
                <w:rFonts w:hint="default"/>
                <w:sz w:val="22"/>
                <w:szCs w:val="22"/>
              </w:rPr>
              <w:t>当前版本该功能需求下线、未开发或需求变更导致用例失效</w:t>
            </w:r>
          </w:p>
        </w:tc>
      </w:tr>
      <w:bookmarkEnd w:id="29"/>
    </w:tbl>
    <w:p w14:paraId="179CDBFD">
      <w:pPr>
        <w:pStyle w:val="5"/>
        <w:spacing w:beforeLines="0" w:afterLines="0"/>
        <w:rPr>
          <w:rFonts w:hint="default"/>
          <w:sz w:val="22"/>
          <w:szCs w:val="22"/>
        </w:rPr>
      </w:pPr>
      <w:bookmarkStart w:id="30" w:name="缺陷管理"/>
      <w:r>
        <w:rPr>
          <w:rFonts w:hint="eastAsia" w:ascii="黑体" w:hAnsi="黑体" w:eastAsia="黑体"/>
          <w:sz w:val="22"/>
          <w:szCs w:val="22"/>
        </w:rPr>
        <w:t xml:space="preserve">8.4 </w:t>
      </w:r>
      <w:r>
        <w:rPr>
          <w:rFonts w:hint="default" w:ascii="ＭＳ ゴシック"/>
          <w:sz w:val="22"/>
          <w:szCs w:val="22"/>
        </w:rPr>
        <w:t>缺陷管理</w:t>
      </w:r>
    </w:p>
    <w:p w14:paraId="58C4EC4F">
      <w:pPr>
        <w:spacing w:beforeLines="0" w:afterLines="0"/>
        <w:rPr>
          <w:rFonts w:hint="default"/>
          <w:sz w:val="22"/>
          <w:szCs w:val="22"/>
        </w:rPr>
      </w:pPr>
      <w:r>
        <w:rPr>
          <w:rFonts w:hint="default"/>
          <w:sz w:val="22"/>
          <w:szCs w:val="22"/>
        </w:rPr>
        <w:t>测试用例执行不通过或阻塞时，测试工程师应在系统中提交缺陷，同步推送至对应开发工程师。缺陷需明确：严重等级、产生原因、缺陷内容、期望解决时间和关闭时间。系统应支持全程跟踪修复进度。</w:t>
      </w:r>
    </w:p>
    <w:p w14:paraId="4A07BDF6">
      <w:pPr>
        <w:pStyle w:val="4"/>
        <w:rPr>
          <w:rFonts w:hint="default"/>
          <w:sz w:val="22"/>
          <w:szCs w:val="22"/>
        </w:rPr>
      </w:pPr>
      <w:r>
        <w:rPr>
          <w:rFonts w:eastAsia="宋体"/>
        </w:rPr>
        <w:t xml:space="preserve">9 </w:t>
      </w:r>
      <w:r>
        <w:rPr>
          <w:rFonts w:hint="eastAsia" w:eastAsia="宋体"/>
        </w:rPr>
        <w:t>测试交付闭环</w:t>
      </w:r>
    </w:p>
    <w:p w14:paraId="5E3B9D02">
      <w:pPr>
        <w:pStyle w:val="5"/>
        <w:rPr>
          <w:rFonts w:hint="default"/>
          <w:sz w:val="22"/>
          <w:szCs w:val="22"/>
        </w:rPr>
      </w:pPr>
      <w:r>
        <w:rPr>
          <w:rFonts w:eastAsia="宋体"/>
        </w:rPr>
        <w:t>UAT 协同</w:t>
      </w:r>
      <w:r>
        <w:rPr>
          <w:rFonts w:hint="eastAsia" w:eastAsia="宋体"/>
        </w:rPr>
        <w:t>协同</w:t>
      </w:r>
    </w:p>
    <w:p w14:paraId="5EE4C257">
      <w:pPr>
        <w:pStyle w:val="19"/>
        <w:spacing w:beforeLines="0" w:afterLines="0"/>
        <w:rPr>
          <w:rFonts w:hint="default"/>
          <w:sz w:val="22"/>
          <w:szCs w:val="22"/>
        </w:rPr>
      </w:pPr>
      <w:r>
        <w:rPr>
          <w:rFonts w:hint="default"/>
          <w:sz w:val="22"/>
          <w:szCs w:val="22"/>
        </w:rPr>
        <w:t>UAT 测试完成后，测试工程师在测试平台报告统计模块生成测试报告，点击分享后将报告链接同步至全研发平台，全研发平台项目状态更新为”测试完成”。</w:t>
      </w:r>
    </w:p>
    <w:p w14:paraId="5F2B96BE">
      <w:pPr>
        <w:pStyle w:val="19"/>
        <w:spacing w:beforeLines="0" w:afterLines="0"/>
        <w:rPr>
          <w:rFonts w:hint="default"/>
          <w:sz w:val="22"/>
          <w:szCs w:val="22"/>
        </w:rPr>
      </w:pPr>
      <w:r>
        <w:rPr>
          <w:rFonts w:hint="default"/>
          <w:sz w:val="22"/>
          <w:szCs w:val="22"/>
        </w:rPr>
        <w:t>测试总负责人在系统中进行最终核验，对本次需求测试中的问题及潜在风险进行汇总归纳。核验提交后，全研发平台项目状态跳转至下一环节：渗透测试。</w:t>
      </w:r>
    </w:p>
    <w:p w14:paraId="16D29772">
      <w:pPr>
        <w:pStyle w:val="19"/>
        <w:spacing w:beforeLines="0" w:afterLines="0"/>
        <w:rPr>
          <w:rFonts w:hint="default"/>
          <w:sz w:val="22"/>
          <w:szCs w:val="22"/>
        </w:rPr>
      </w:pPr>
      <w:r>
        <w:rPr>
          <w:rFonts w:hint="default"/>
          <w:sz w:val="22"/>
          <w:szCs w:val="22"/>
        </w:rPr>
        <w:t>测试计划、测试用例、缺陷台账、测试报告和复测记录等电子资料统一归档至系统，保存期限不少于 3 年，全程可追溯。</w:t>
      </w:r>
      <w:bookmarkStart w:id="41" w:name="_GoBack"/>
      <w:bookmarkEnd w:id="41"/>
    </w:p>
    <w:bookmarkEnd w:id="26"/>
    <w:bookmarkEnd w:id="30"/>
    <w:p w14:paraId="64A58D8B">
      <w:pPr>
        <w:pStyle w:val="4"/>
        <w:spacing w:beforeLines="0" w:afterLines="0"/>
        <w:rPr>
          <w:rFonts w:hint="default"/>
          <w:sz w:val="26"/>
          <w:szCs w:val="26"/>
        </w:rPr>
      </w:pPr>
      <w:bookmarkStart w:id="31" w:name="外部系统协同"/>
      <w:r>
        <w:rPr>
          <w:rFonts w:hint="eastAsia" w:ascii="黑体" w:hAnsi="黑体" w:eastAsia="黑体"/>
          <w:sz w:val="26"/>
          <w:szCs w:val="26"/>
        </w:rPr>
        <w:t xml:space="preserve">10 </w:t>
      </w:r>
      <w:r>
        <w:rPr>
          <w:rFonts w:hint="default" w:ascii="ＭＳ ゴシック"/>
          <w:sz w:val="26"/>
          <w:szCs w:val="26"/>
        </w:rPr>
        <w:t>外部系统协同</w:t>
      </w:r>
    </w:p>
    <w:p w14:paraId="43C96FD2">
      <w:pPr>
        <w:pStyle w:val="5"/>
        <w:spacing w:beforeLines="0" w:afterLines="0"/>
        <w:rPr>
          <w:rFonts w:hint="default"/>
          <w:sz w:val="22"/>
          <w:szCs w:val="22"/>
        </w:rPr>
      </w:pPr>
      <w:bookmarkStart w:id="32" w:name="与全研发管理平台的协同"/>
      <w:r>
        <w:rPr>
          <w:rFonts w:hint="eastAsia" w:ascii="黑体" w:hAnsi="黑体" w:eastAsia="黑体"/>
          <w:sz w:val="22"/>
          <w:szCs w:val="22"/>
        </w:rPr>
        <w:t xml:space="preserve">10.1 </w:t>
      </w:r>
      <w:r>
        <w:rPr>
          <w:rFonts w:hint="default" w:ascii="ＭＳ ゴシック"/>
          <w:sz w:val="22"/>
          <w:szCs w:val="22"/>
        </w:rPr>
        <w:t>与全研发管理平台的协同</w:t>
      </w:r>
    </w:p>
    <w:p w14:paraId="6351FC88">
      <w:pPr>
        <w:spacing w:beforeLines="0" w:afterLines="0"/>
        <w:rPr>
          <w:rFonts w:hint="default"/>
          <w:sz w:val="22"/>
          <w:szCs w:val="22"/>
        </w:rPr>
      </w:pPr>
      <w:r>
        <w:rPr>
          <w:rFonts w:hint="default"/>
          <w:sz w:val="22"/>
          <w:szCs w:val="22"/>
        </w:rPr>
        <w:t>系统需与全研发管理平台实现以下协同：</w:t>
      </w:r>
    </w:p>
    <w:p w14:paraId="0461D9B8">
      <w:pPr>
        <w:numPr>
          <w:ilvl w:val="0"/>
          <w:numId w:val="8"/>
        </w:numPr>
        <w:spacing w:beforeLines="0" w:afterLines="0"/>
        <w:rPr>
          <w:rFonts w:hint="default"/>
          <w:sz w:val="22"/>
          <w:szCs w:val="22"/>
        </w:rPr>
      </w:pPr>
      <w:r>
        <w:rPr>
          <w:rFonts w:hint="default"/>
          <w:sz w:val="22"/>
          <w:szCs w:val="22"/>
        </w:rPr>
        <w:t>接收需求信息（需求规格说明书链接、需求编号、所属系统、开发计划完成时间等）</w:t>
      </w:r>
    </w:p>
    <w:p w14:paraId="1C73C323">
      <w:pPr>
        <w:numPr>
          <w:ilvl w:val="0"/>
          <w:numId w:val="8"/>
        </w:numPr>
        <w:spacing w:beforeLines="0" w:afterLines="0"/>
        <w:rPr>
          <w:rFonts w:hint="default"/>
          <w:sz w:val="22"/>
          <w:szCs w:val="22"/>
        </w:rPr>
      </w:pPr>
      <w:r>
        <w:rPr>
          <w:rFonts w:hint="default"/>
          <w:sz w:val="22"/>
          <w:szCs w:val="22"/>
        </w:rPr>
        <w:t>接收开发实际完成时间</w:t>
      </w:r>
    </w:p>
    <w:p w14:paraId="473712E1">
      <w:pPr>
        <w:numPr>
          <w:ilvl w:val="0"/>
          <w:numId w:val="8"/>
        </w:numPr>
        <w:spacing w:beforeLines="0" w:afterLines="0"/>
        <w:rPr>
          <w:rFonts w:hint="default"/>
          <w:sz w:val="22"/>
          <w:szCs w:val="22"/>
        </w:rPr>
      </w:pPr>
      <w:r>
        <w:rPr>
          <w:rFonts w:hint="default"/>
          <w:sz w:val="22"/>
          <w:szCs w:val="22"/>
        </w:rPr>
        <w:t>回传免测判定结果</w:t>
      </w:r>
    </w:p>
    <w:p w14:paraId="579A6C24">
      <w:pPr>
        <w:numPr>
          <w:ilvl w:val="0"/>
          <w:numId w:val="8"/>
        </w:numPr>
        <w:spacing w:beforeLines="0" w:afterLines="0"/>
        <w:rPr>
          <w:rFonts w:hint="default"/>
          <w:sz w:val="22"/>
          <w:szCs w:val="22"/>
        </w:rPr>
      </w:pPr>
      <w:r>
        <w:rPr>
          <w:rFonts w:hint="default"/>
          <w:sz w:val="22"/>
          <w:szCs w:val="22"/>
        </w:rPr>
        <w:t>回传测试计划审批请求和状态</w:t>
      </w:r>
    </w:p>
    <w:p w14:paraId="65319053">
      <w:pPr>
        <w:numPr>
          <w:ilvl w:val="0"/>
          <w:numId w:val="8"/>
        </w:numPr>
        <w:spacing w:beforeLines="0" w:afterLines="0"/>
        <w:rPr>
          <w:rFonts w:hint="default"/>
          <w:sz w:val="22"/>
          <w:szCs w:val="22"/>
        </w:rPr>
      </w:pPr>
      <w:r>
        <w:rPr>
          <w:rFonts w:hint="default"/>
          <w:sz w:val="22"/>
          <w:szCs w:val="22"/>
        </w:rPr>
        <w:t>回传测试进度和报告链接</w:t>
      </w:r>
    </w:p>
    <w:bookmarkEnd w:id="32"/>
    <w:p w14:paraId="25711878">
      <w:pPr>
        <w:pStyle w:val="5"/>
        <w:spacing w:beforeLines="0" w:afterLines="0"/>
        <w:rPr>
          <w:rFonts w:hint="default"/>
          <w:sz w:val="22"/>
          <w:szCs w:val="22"/>
        </w:rPr>
      </w:pPr>
      <w:bookmarkStart w:id="33" w:name="平台状态对照"/>
      <w:r>
        <w:rPr>
          <w:rFonts w:hint="eastAsia" w:ascii="黑体" w:hAnsi="黑体" w:eastAsia="黑体"/>
          <w:sz w:val="22"/>
          <w:szCs w:val="22"/>
        </w:rPr>
        <w:t xml:space="preserve">10.2 </w:t>
      </w:r>
      <w:r>
        <w:rPr>
          <w:rFonts w:hint="default" w:ascii="ＭＳ ゴシック"/>
          <w:sz w:val="22"/>
          <w:szCs w:val="22"/>
        </w:rPr>
        <w:t>平台状态对照</w:t>
      </w:r>
    </w:p>
    <w:tbl>
      <w:tblPr>
        <w:tblStyle w:val="32"/>
        <w:tblW w:w="0" w:type="auto"/>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976"/>
        <w:gridCol w:w="2097"/>
      </w:tblGrid>
      <w:tr w14:paraId="0ACA4E76">
        <w:trPr>
          <w:wBefore w:w="0" w:type="dxa"/>
          <w:wAfter w:w="0" w:type="dxa"/>
          <w:tblHeader/>
        </w:trPr>
        <w:tc>
          <w:tcPr>
            <w:tcW w:w="0" w:type="auto"/>
            <w:tcBorders>
              <w:top w:val="single" w:color="A6A6A6" w:sz="4" w:space="0"/>
              <w:left w:val="single" w:color="A6A6A6" w:sz="4" w:space="0"/>
              <w:bottom w:val="single" w:color="A6A6A6" w:sz="4" w:space="0"/>
              <w:right w:val="single" w:color="A6A6A6" w:sz="4" w:space="0"/>
              <w:tl2br w:val="nil"/>
              <w:tr2bl w:val="nil"/>
            </w:tcBorders>
            <w:shd w:val="clear" w:color="auto" w:fill="EDEDED"/>
            <w:noWrap w:val="0"/>
            <w:vAlign w:val="top"/>
          </w:tcPr>
          <w:p w14:paraId="6D10D1C6">
            <w:pPr>
              <w:spacing w:beforeLines="0" w:afterLines="0"/>
              <w:rPr>
                <w:rFonts w:hint="default"/>
                <w:sz w:val="22"/>
                <w:szCs w:val="22"/>
              </w:rPr>
            </w:pPr>
            <w:r>
              <w:rPr>
                <w:rFonts w:hint="default"/>
                <w:sz w:val="22"/>
                <w:szCs w:val="22"/>
              </w:rPr>
              <w:t>测试平台阶段</w:t>
            </w:r>
          </w:p>
        </w:tc>
        <w:tc>
          <w:tcPr>
            <w:tcW w:w="0" w:type="auto"/>
            <w:tcBorders>
              <w:top w:val="single" w:color="A6A6A6" w:sz="4" w:space="0"/>
              <w:left w:val="single" w:color="A6A6A6" w:sz="4" w:space="0"/>
              <w:bottom w:val="single" w:color="A6A6A6" w:sz="4" w:space="0"/>
              <w:right w:val="single" w:color="A6A6A6" w:sz="4" w:space="0"/>
              <w:tl2br w:val="nil"/>
              <w:tr2bl w:val="nil"/>
            </w:tcBorders>
            <w:shd w:val="clear" w:color="auto" w:fill="EDEDED"/>
            <w:noWrap w:val="0"/>
            <w:vAlign w:val="top"/>
          </w:tcPr>
          <w:p w14:paraId="4474E230">
            <w:pPr>
              <w:spacing w:beforeLines="0" w:afterLines="0"/>
              <w:rPr>
                <w:rFonts w:hint="default"/>
                <w:sz w:val="22"/>
                <w:szCs w:val="22"/>
              </w:rPr>
            </w:pPr>
            <w:r>
              <w:rPr>
                <w:rFonts w:hint="default"/>
                <w:sz w:val="22"/>
                <w:szCs w:val="22"/>
              </w:rPr>
              <w:t>全研发平台状态</w:t>
            </w:r>
          </w:p>
        </w:tc>
      </w:tr>
      <w:tr w14:paraId="05F556DC">
        <w:trPr>
          <w:wBefore w:w="0" w:type="dxa"/>
          <w:wAfter w:w="0" w:type="dxa"/>
        </w:trPr>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2ED9901E">
            <w:pPr>
              <w:spacing w:beforeLines="0" w:afterLines="0"/>
              <w:rPr>
                <w:rFonts w:hint="default"/>
                <w:sz w:val="22"/>
                <w:szCs w:val="22"/>
              </w:rPr>
            </w:pPr>
            <w:r>
              <w:rPr>
                <w:rFonts w:hint="default"/>
                <w:sz w:val="22"/>
                <w:szCs w:val="22"/>
              </w:rPr>
              <w:t>提交免测</w:t>
            </w:r>
          </w:p>
        </w:tc>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168F76E8">
            <w:pPr>
              <w:spacing w:beforeLines="0" w:afterLines="0"/>
              <w:rPr>
                <w:rFonts w:hint="default"/>
                <w:sz w:val="22"/>
                <w:szCs w:val="22"/>
              </w:rPr>
            </w:pPr>
            <w:r>
              <w:rPr>
                <w:rFonts w:hint="default"/>
                <w:sz w:val="22"/>
                <w:szCs w:val="22"/>
              </w:rPr>
              <w:t>测试团队INT免测</w:t>
            </w:r>
          </w:p>
        </w:tc>
      </w:tr>
      <w:tr w14:paraId="52FB05BF">
        <w:trPr>
          <w:wBefore w:w="0" w:type="dxa"/>
          <w:wAfter w:w="0" w:type="dxa"/>
        </w:trPr>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67EC7E46">
            <w:pPr>
              <w:spacing w:beforeLines="0" w:afterLines="0"/>
              <w:rPr>
                <w:rFonts w:hint="default"/>
                <w:sz w:val="22"/>
                <w:szCs w:val="22"/>
              </w:rPr>
            </w:pPr>
            <w:r>
              <w:rPr>
                <w:rFonts w:hint="default"/>
                <w:sz w:val="22"/>
                <w:szCs w:val="22"/>
              </w:rPr>
              <w:t>继续测试</w:t>
            </w:r>
          </w:p>
        </w:tc>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1D044640">
            <w:pPr>
              <w:spacing w:beforeLines="0" w:afterLines="0"/>
              <w:rPr>
                <w:rFonts w:hint="default"/>
                <w:sz w:val="22"/>
                <w:szCs w:val="22"/>
              </w:rPr>
            </w:pPr>
            <w:r>
              <w:rPr>
                <w:rFonts w:hint="default"/>
                <w:sz w:val="22"/>
                <w:szCs w:val="22"/>
              </w:rPr>
              <w:t>测试计划</w:t>
            </w:r>
          </w:p>
        </w:tc>
      </w:tr>
      <w:tr w14:paraId="407A7B4A">
        <w:trPr>
          <w:wBefore w:w="0" w:type="dxa"/>
          <w:wAfter w:w="0" w:type="dxa"/>
        </w:trPr>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1A3AD7E1">
            <w:pPr>
              <w:spacing w:beforeLines="0" w:afterLines="0"/>
              <w:rPr>
                <w:rFonts w:hint="default"/>
                <w:sz w:val="22"/>
                <w:szCs w:val="22"/>
              </w:rPr>
            </w:pPr>
            <w:r>
              <w:rPr>
                <w:rFonts w:hint="default"/>
                <w:sz w:val="22"/>
                <w:szCs w:val="22"/>
              </w:rPr>
              <w:t>计划提交审批</w:t>
            </w:r>
          </w:p>
        </w:tc>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5CD15232">
            <w:pPr>
              <w:spacing w:beforeLines="0" w:afterLines="0"/>
              <w:rPr>
                <w:rFonts w:hint="default"/>
                <w:sz w:val="22"/>
                <w:szCs w:val="22"/>
              </w:rPr>
            </w:pPr>
            <w:r>
              <w:rPr>
                <w:rFonts w:hint="default"/>
                <w:sz w:val="22"/>
                <w:szCs w:val="22"/>
              </w:rPr>
              <w:t>计划审批</w:t>
            </w:r>
          </w:p>
        </w:tc>
      </w:tr>
      <w:tr w14:paraId="2123E753">
        <w:trPr>
          <w:wBefore w:w="0" w:type="dxa"/>
          <w:wAfter w:w="0" w:type="dxa"/>
        </w:trPr>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4A97CE79">
            <w:pPr>
              <w:spacing w:beforeLines="0" w:afterLines="0"/>
              <w:rPr>
                <w:rFonts w:hint="default"/>
                <w:sz w:val="22"/>
                <w:szCs w:val="22"/>
              </w:rPr>
            </w:pPr>
            <w:r>
              <w:rPr>
                <w:rFonts w:hint="default"/>
                <w:sz w:val="22"/>
                <w:szCs w:val="22"/>
              </w:rPr>
              <w:t>审批通过进入准备</w:t>
            </w:r>
          </w:p>
        </w:tc>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35FE8421">
            <w:pPr>
              <w:spacing w:beforeLines="0" w:afterLines="0"/>
              <w:rPr>
                <w:rFonts w:hint="default"/>
                <w:sz w:val="22"/>
                <w:szCs w:val="22"/>
              </w:rPr>
            </w:pPr>
            <w:r>
              <w:rPr>
                <w:rFonts w:hint="default"/>
                <w:sz w:val="22"/>
                <w:szCs w:val="22"/>
              </w:rPr>
              <w:t>测试准备环节</w:t>
            </w:r>
          </w:p>
        </w:tc>
      </w:tr>
      <w:tr w14:paraId="43FDEB05">
        <w:trPr>
          <w:wBefore w:w="0" w:type="dxa"/>
          <w:wAfter w:w="0" w:type="dxa"/>
        </w:trPr>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5C35B78D">
            <w:pPr>
              <w:spacing w:beforeLines="0" w:afterLines="0"/>
              <w:rPr>
                <w:rFonts w:hint="default"/>
                <w:sz w:val="22"/>
                <w:szCs w:val="22"/>
              </w:rPr>
            </w:pPr>
            <w:r>
              <w:rPr>
                <w:rFonts w:hint="default"/>
                <w:sz w:val="22"/>
                <w:szCs w:val="22"/>
              </w:rPr>
              <w:t>用例评审完成</w:t>
            </w:r>
          </w:p>
        </w:tc>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1D790434">
            <w:pPr>
              <w:spacing w:beforeLines="0" w:afterLines="0"/>
              <w:rPr>
                <w:rFonts w:hint="default"/>
                <w:sz w:val="22"/>
                <w:szCs w:val="22"/>
              </w:rPr>
            </w:pPr>
            <w:r>
              <w:rPr>
                <w:rFonts w:hint="default"/>
                <w:sz w:val="22"/>
                <w:szCs w:val="22"/>
              </w:rPr>
              <w:t>测试执行环节</w:t>
            </w:r>
          </w:p>
        </w:tc>
      </w:tr>
      <w:tr w14:paraId="2777B6DB">
        <w:trPr>
          <w:wBefore w:w="0" w:type="dxa"/>
          <w:wAfter w:w="0" w:type="dxa"/>
        </w:trPr>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33102FEF">
            <w:pPr>
              <w:spacing w:beforeLines="0" w:afterLines="0"/>
              <w:rPr>
                <w:rFonts w:hint="default"/>
                <w:sz w:val="22"/>
                <w:szCs w:val="22"/>
              </w:rPr>
            </w:pPr>
            <w:r>
              <w:rPr>
                <w:rFonts w:hint="default"/>
                <w:sz w:val="22"/>
                <w:szCs w:val="22"/>
              </w:rPr>
              <w:t>测试完成</w:t>
            </w:r>
          </w:p>
        </w:tc>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4AE56C14">
            <w:pPr>
              <w:spacing w:beforeLines="0" w:afterLines="0"/>
              <w:rPr>
                <w:rFonts w:hint="default"/>
                <w:sz w:val="22"/>
                <w:szCs w:val="22"/>
              </w:rPr>
            </w:pPr>
            <w:r>
              <w:rPr>
                <w:rFonts w:hint="default"/>
                <w:sz w:val="22"/>
                <w:szCs w:val="22"/>
              </w:rPr>
              <w:t>测试完成</w:t>
            </w:r>
          </w:p>
        </w:tc>
      </w:tr>
      <w:bookmarkEnd w:id="33"/>
      <w:tr w14:paraId="2777B6DB">
        <w:trPr>
          <w:wBefore w:w="0" w:type="dxa"/>
          <w:wAfter w:w="0" w:type="dxa"/>
        </w:trPr>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33102FEF">
            <w:pPr>
              <w:spacing w:beforeLines="0" w:afterLines="0"/>
              <w:rPr>
                <w:rFonts w:hint="default"/>
                <w:sz w:val="22"/>
                <w:szCs w:val="22"/>
              </w:rPr>
            </w:pPr>
            <w:r>
              <w:rPr>
                <w:rFonts w:hint="default"/>
                <w:sz w:val="22"/>
                <w:szCs w:val="22"/>
              </w:rPr>
              <w:t>交付闭环核验完成</w:t>
            </w:r>
          </w:p>
        </w:tc>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4AE56C14">
            <w:pPr>
              <w:spacing w:beforeLines="0" w:afterLines="0"/>
              <w:rPr>
                <w:rFonts w:hint="default"/>
                <w:sz w:val="22"/>
                <w:szCs w:val="22"/>
              </w:rPr>
            </w:pPr>
            <w:r>
              <w:rPr>
                <w:rFonts w:hint="default"/>
                <w:sz w:val="22"/>
                <w:szCs w:val="22"/>
              </w:rPr>
              <w:t>渗透测试</w:t>
            </w:r>
          </w:p>
        </w:tc>
      </w:tr>
    </w:tbl>
    <w:p w14:paraId="205BDC72">
      <w:pPr>
        <w:pStyle w:val="5"/>
        <w:spacing w:beforeLines="0" w:afterLines="0"/>
        <w:rPr>
          <w:rFonts w:hint="default"/>
          <w:sz w:val="22"/>
          <w:szCs w:val="22"/>
        </w:rPr>
      </w:pPr>
      <w:bookmarkStart w:id="34" w:name="需求规格说明书"/>
      <w:r>
        <w:rPr>
          <w:rFonts w:hint="eastAsia" w:ascii="黑体" w:hAnsi="黑体" w:eastAsia="黑体"/>
          <w:sz w:val="22"/>
          <w:szCs w:val="22"/>
        </w:rPr>
        <w:t xml:space="preserve">10.3 </w:t>
      </w:r>
      <w:r>
        <w:rPr>
          <w:rFonts w:hint="default" w:ascii="ＭＳ ゴシック"/>
          <w:sz w:val="22"/>
          <w:szCs w:val="22"/>
        </w:rPr>
        <w:t>需求规格说明书</w:t>
      </w:r>
    </w:p>
    <w:p w14:paraId="71D54396">
      <w:pPr>
        <w:spacing w:beforeLines="0" w:afterLines="0"/>
        <w:rPr>
          <w:rFonts w:hint="default"/>
          <w:sz w:val="22"/>
          <w:szCs w:val="22"/>
        </w:rPr>
      </w:pPr>
      <w:r>
        <w:rPr>
          <w:rFonts w:hint="default"/>
          <w:sz w:val="22"/>
          <w:szCs w:val="22"/>
        </w:rPr>
        <w:t>系统应支持存储和展示需求平台同步过来的需求规格说明书链接。测试人员在接收需求后可点击查看，用于需求分析和用例编制参考。</w:t>
      </w:r>
    </w:p>
    <w:bookmarkEnd w:id="31"/>
    <w:bookmarkEnd w:id="34"/>
    <w:p w14:paraId="4B9F2E9C">
      <w:pPr>
        <w:pStyle w:val="4"/>
        <w:spacing w:beforeLines="0" w:afterLines="0"/>
        <w:rPr>
          <w:rFonts w:hint="default" w:ascii="ＭＳ ゴシック"/>
          <w:sz w:val="26"/>
          <w:szCs w:val="26"/>
        </w:rPr>
      </w:pPr>
      <w:bookmarkStart w:id="35" w:name="测试计划工作流状态"/>
      <w:r>
        <w:rPr>
          <w:rFonts w:hint="eastAsia" w:ascii="黑体" w:hAnsi="黑体" w:eastAsia="黑体"/>
          <w:sz w:val="26"/>
          <w:szCs w:val="26"/>
        </w:rPr>
        <w:t xml:space="preserve">11 </w:t>
      </w:r>
      <w:r>
        <w:rPr>
          <w:rFonts w:hint="default" w:ascii="ＭＳ ゴシック"/>
          <w:sz w:val="26"/>
          <w:szCs w:val="26"/>
        </w:rPr>
        <w:t>测试计划工作流状态</w:t>
      </w:r>
    </w:p>
    <w:p w14:paraId="22BC0337">
      <w:pPr>
        <w:spacing w:beforeLines="0" w:afterLines="0"/>
        <w:rPr>
          <w:rFonts w:hint="default"/>
          <w:sz w:val="22"/>
          <w:szCs w:val="22"/>
        </w:rPr>
      </w:pPr>
      <w:r>
        <w:rPr>
          <w:rFonts w:hint="default"/>
          <w:sz w:val="22"/>
          <w:szCs w:val="22"/>
        </w:rPr>
        <w:drawing>
          <wp:inline distT="0" distB="0" distL="114300" distR="114300">
            <wp:extent cx="2994660" cy="4275455"/>
            <wp:effectExtent l="0" t="0" r="2540" b="17145"/>
            <wp:docPr id="1" name="图片 1"/>
            <wp:cNvGraphicFramePr>
              <ns4:graphicFrameLocks noChangeAspect="1"/>
            </wp:cNvGraphicFramePr>
            <ns4:graphic>
              <ns4:graphicData uri="http://schemas.openxmlformats.org/drawingml/2006/picture">
                <ns5:pic>
                  <ns5:nvPicPr>
                    <ns5:cNvPr id="1" name="图片 1"/>
                    <ns5:cNvPicPr>
                      <ns4:picLocks noChangeAspect="1"/>
                    </ns5:cNvPicPr>
                  </ns5:nvPicPr>
                  <ns5:blipFill>
                    <ns4:blip r:embed="rId6"/>
                    <ns4:stretch>
                      <ns4:fillRect/>
                    </ns4:stretch>
                  </ns5:blipFill>
                  <ns5:spPr>
                    <ns4:xfrm>
                      <ns4:off x="0" y="0"/>
                      <ns4:ext cx="2994660" cy="4275455"/>
                    </ns4:xfrm>
                    <ns4:prstGeom prst="rect">
                      <ns4:avLst/>
                    </ns4:prstGeom>
                    <ns4:noFill/>
                    <ns4:ln>
                      <ns4:noFill/>
                    </ns4:ln>
                  </ns5:spPr>
                </ns5:pic>
              </ns4:graphicData>
            </ns4:graphic>
          </wp:inline>
        </w:drawing>
      </w:r>
    </w:p>
    <w:p w14:paraId="4D0D7CE0">
      <w:pPr>
        <w:pStyle w:val="5"/>
        <w:spacing w:beforeLines="0" w:afterLines="0"/>
        <w:rPr>
          <w:rFonts w:hint="default"/>
          <w:sz w:val="22"/>
          <w:szCs w:val="22"/>
        </w:rPr>
      </w:pPr>
      <w:bookmarkStart w:id="36" w:name="评估与审批阶段状态流转"/>
      <w:r>
        <w:rPr>
          <w:rFonts w:hint="eastAsia" w:ascii="黑体" w:hAnsi="黑体" w:eastAsia="黑体"/>
          <w:sz w:val="22"/>
          <w:szCs w:val="22"/>
        </w:rPr>
        <w:t xml:space="preserve">11.1 </w:t>
      </w:r>
      <w:r>
        <w:rPr>
          <w:rFonts w:hint="default" w:ascii="ＭＳ ゴシック"/>
          <w:sz w:val="22"/>
          <w:szCs w:val="22"/>
        </w:rPr>
        <w:t>评估与审批阶段状态流转</w:t>
      </w:r>
    </w:p>
    <w:p w14:paraId="3ACC6B38">
      <w:pPr>
        <w:spacing w:beforeLines="0" w:afterLines="0"/>
        <w:rPr>
          <w:rFonts w:hint="default"/>
          <w:sz w:val="22"/>
          <w:szCs w:val="22"/>
        </w:rPr>
      </w:pPr>
      <w:r>
        <w:rPr>
          <w:rFonts w:hint="default"/>
          <w:sz w:val="22"/>
          <w:szCs w:val="22"/>
        </w:rPr>
        <w:t>初始状态为”待评估”，测试路径如下：</w:t>
      </w:r>
    </w:p>
    <w:p w14:paraId="2A27678D">
      <w:pPr>
        <w:numPr>
          <w:ilvl w:val="0"/>
          <w:numId w:val="8"/>
        </w:numPr>
        <w:spacing w:beforeLines="0" w:afterLines="0"/>
        <w:rPr>
          <w:rFonts w:hint="default"/>
          <w:sz w:val="22"/>
          <w:szCs w:val="22"/>
        </w:rPr>
      </w:pPr>
      <w:r>
        <w:rPr>
          <w:rFonts w:hint="default"/>
          <w:sz w:val="22"/>
          <w:szCs w:val="22"/>
        </w:rPr>
        <w:t>选择”提交免测”→ 状态变更为”免测已提交/已结束”，流程结束</w:t>
      </w:r>
    </w:p>
    <w:p w14:paraId="741D07CF">
      <w:pPr>
        <w:numPr>
          <w:ilvl w:val="0"/>
          <w:numId w:val="8"/>
        </w:numPr>
        <w:spacing w:beforeLines="0" w:afterLines="0"/>
        <w:rPr>
          <w:rFonts w:hint="default"/>
          <w:sz w:val="22"/>
          <w:szCs w:val="22"/>
        </w:rPr>
      </w:pPr>
      <w:r>
        <w:rPr>
          <w:rFonts w:hint="default"/>
          <w:sz w:val="22"/>
          <w:szCs w:val="22"/>
        </w:rPr>
        <w:t>选择”继续测试”→ 状态变更为”继续测试”，测试计划可编辑</w:t>
      </w:r>
    </w:p>
    <w:p w14:paraId="2D1C7EBE">
      <w:pPr>
        <w:numPr>
          <w:ilvl w:val="0"/>
          <w:numId w:val="8"/>
        </w:numPr>
        <w:spacing w:beforeLines="0" w:afterLines="0"/>
        <w:rPr>
          <w:rFonts w:hint="default"/>
          <w:sz w:val="22"/>
          <w:szCs w:val="22"/>
        </w:rPr>
      </w:pPr>
      <w:r>
        <w:rPr>
          <w:rFonts w:hint="default"/>
          <w:sz w:val="22"/>
          <w:szCs w:val="22"/>
        </w:rPr>
        <w:t>编辑完成提交 → 状态变更为”已提交”，测试计划锁定，等待审批</w:t>
      </w:r>
    </w:p>
    <w:p w14:paraId="6612A217">
      <w:pPr>
        <w:numPr>
          <w:ilvl w:val="0"/>
          <w:numId w:val="8"/>
        </w:numPr>
        <w:spacing w:beforeLines="0" w:afterLines="0"/>
        <w:rPr>
          <w:rFonts w:hint="default"/>
          <w:sz w:val="22"/>
          <w:szCs w:val="22"/>
        </w:rPr>
      </w:pPr>
      <w:r>
        <w:rPr>
          <w:rFonts w:hint="default"/>
          <w:sz w:val="22"/>
          <w:szCs w:val="22"/>
        </w:rPr>
        <w:t>审批通过 → 状态变更为”审批通过”，进入测试执行生命周期</w:t>
      </w:r>
    </w:p>
    <w:p w14:paraId="7AA07D08">
      <w:pPr>
        <w:numPr>
          <w:ilvl w:val="0"/>
          <w:numId w:val="8"/>
        </w:numPr>
        <w:spacing w:beforeLines="0" w:afterLines="0"/>
        <w:rPr>
          <w:rFonts w:hint="default"/>
          <w:sz w:val="22"/>
          <w:szCs w:val="22"/>
        </w:rPr>
      </w:pPr>
      <w:r>
        <w:rPr>
          <w:rFonts w:hint="default"/>
          <w:sz w:val="22"/>
          <w:szCs w:val="22"/>
        </w:rPr>
        <w:t>审批驳回 → 状态变更为”已驳回”，恢复编辑权限，可修改后重新提交</w:t>
      </w:r>
    </w:p>
    <w:bookmarkEnd w:id="36"/>
    <w:p w14:paraId="71871DE9">
      <w:pPr>
        <w:pStyle w:val="5"/>
        <w:spacing w:beforeLines="0" w:afterLines="0"/>
        <w:rPr>
          <w:rFonts w:hint="default"/>
          <w:sz w:val="22"/>
          <w:szCs w:val="22"/>
        </w:rPr>
      </w:pPr>
      <w:bookmarkStart w:id="37" w:name="测试执行阶段状态流转"/>
      <w:r>
        <w:rPr>
          <w:rFonts w:hint="eastAsia" w:ascii="黑体" w:hAnsi="黑体" w:eastAsia="黑体"/>
          <w:sz w:val="22"/>
          <w:szCs w:val="22"/>
        </w:rPr>
        <w:t xml:space="preserve">11.2 </w:t>
      </w:r>
      <w:r>
        <w:rPr>
          <w:rFonts w:hint="default" w:ascii="ＭＳ ゴシック"/>
          <w:sz w:val="22"/>
          <w:szCs w:val="22"/>
        </w:rPr>
        <w:t>测试执行阶段状态流转</w:t>
      </w:r>
    </w:p>
    <w:p w14:paraId="19345FFA">
      <w:pPr>
        <w:spacing w:beforeLines="0" w:afterLines="0"/>
        <w:rPr>
          <w:rFonts w:hint="default"/>
          <w:sz w:val="22"/>
          <w:szCs w:val="22"/>
        </w:rPr>
      </w:pPr>
      <w:r>
        <w:rPr>
          <w:rFonts w:hint="default"/>
          <w:sz w:val="22"/>
          <w:szCs w:val="22"/>
        </w:rPr>
        <w:t>审批通过后，测试计划进入标准测试执行生命周期：</w:t>
      </w:r>
    </w:p>
    <w:p w14:paraId="19D93014">
      <w:pPr>
        <w:pStyle w:val="19"/>
        <w:spacing w:beforeLines="0" w:afterLines="0"/>
        <w:rPr>
          <w:rFonts w:hint="default"/>
          <w:sz w:val="22"/>
          <w:szCs w:val="22"/>
        </w:rPr>
      </w:pPr>
      <w:r>
        <w:rPr>
          <w:rFonts w:hint="default"/>
          <w:sz w:val="22"/>
          <w:szCs w:val="22"/>
        </w:rPr>
        <w:t>未开始（Prepare）→ 进行中（Underway）→ 已完成（Completed）→ 已结束（Finished）→ 已归档（Archived）</w:t>
      </w:r>
    </w:p>
    <w:p w14:paraId="3B111121">
      <w:pPr>
        <w:pStyle w:val="19"/>
        <w:spacing w:beforeLines="0" w:afterLines="0"/>
        <w:rPr>
          <w:rFonts w:hint="default"/>
          <w:sz w:val="22"/>
          <w:szCs w:val="22"/>
        </w:rPr>
      </w:pPr>
      <w:r>
        <w:rPr>
          <w:rFonts w:hint="default"/>
          <w:sz w:val="22"/>
          <w:szCs w:val="22"/>
        </w:rPr>
        <w:t>已取消（Cancelled）状态用于特殊情况下终止测试计划。</w:t>
      </w:r>
    </w:p>
    <w:bookmarkEnd w:id="37"/>
    <w:p w14:paraId="571ABE55">
      <w:pPr>
        <w:pStyle w:val="5"/>
        <w:spacing w:beforeLines="0" w:afterLines="0"/>
        <w:rPr>
          <w:rFonts w:hint="default"/>
          <w:sz w:val="22"/>
          <w:szCs w:val="22"/>
        </w:rPr>
      </w:pPr>
      <w:bookmarkStart w:id="38" w:name="状态与编辑权限控制"/>
      <w:r>
        <w:rPr>
          <w:rFonts w:hint="eastAsia" w:ascii="黑体" w:hAnsi="黑体" w:eastAsia="黑体"/>
          <w:sz w:val="22"/>
          <w:szCs w:val="22"/>
        </w:rPr>
        <w:t xml:space="preserve">11.3 </w:t>
      </w:r>
      <w:r>
        <w:rPr>
          <w:rFonts w:hint="default" w:ascii="ＭＳ ゴシック"/>
          <w:sz w:val="22"/>
          <w:szCs w:val="22"/>
        </w:rPr>
        <w:t>状态与编辑权限控制</w:t>
      </w:r>
    </w:p>
    <w:tbl>
      <w:tblPr>
        <w:tblStyle w:val="32"/>
        <w:tblW w:w="0" w:type="auto"/>
        <w:tblInd w:w="0" w:type="dxa"/>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2196"/>
        <w:gridCol w:w="1316"/>
        <w:gridCol w:w="4836"/>
      </w:tblGrid>
      <w:tr w14:paraId="0051BF2B">
        <w:trPr>
          <w:wBefore w:w="0" w:type="dxa"/>
          <w:wAfter w:w="0" w:type="dxa"/>
          <w:tblHeader/>
        </w:trPr>
        <w:tc>
          <w:tcPr>
            <w:tcW w:w="0" w:type="auto"/>
            <w:tcBorders>
              <w:top w:val="single" w:color="A6A6A6" w:sz="4" w:space="0"/>
              <w:left w:val="single" w:color="A6A6A6" w:sz="4" w:space="0"/>
              <w:bottom w:val="single" w:color="A6A6A6" w:sz="4" w:space="0"/>
              <w:right w:val="single" w:color="A6A6A6" w:sz="4" w:space="0"/>
              <w:tl2br w:val="nil"/>
              <w:tr2bl w:val="nil"/>
            </w:tcBorders>
            <w:shd w:val="clear" w:color="auto" w:fill="EDEDED"/>
            <w:noWrap w:val="0"/>
            <w:vAlign w:val="top"/>
          </w:tcPr>
          <w:p w14:paraId="14C1AA22">
            <w:pPr>
              <w:spacing w:beforeLines="0" w:afterLines="0"/>
              <w:rPr>
                <w:rFonts w:hint="default"/>
                <w:sz w:val="22"/>
                <w:szCs w:val="22"/>
              </w:rPr>
            </w:pPr>
            <w:r>
              <w:rPr>
                <w:rFonts w:hint="default"/>
                <w:sz w:val="22"/>
                <w:szCs w:val="22"/>
              </w:rPr>
              <w:t>状态</w:t>
            </w:r>
          </w:p>
        </w:tc>
        <w:tc>
          <w:tcPr>
            <w:tcW w:w="0" w:type="auto"/>
            <w:tcBorders>
              <w:top w:val="single" w:color="A6A6A6" w:sz="4" w:space="0"/>
              <w:left w:val="single" w:color="A6A6A6" w:sz="4" w:space="0"/>
              <w:bottom w:val="single" w:color="A6A6A6" w:sz="4" w:space="0"/>
              <w:right w:val="single" w:color="A6A6A6" w:sz="4" w:space="0"/>
              <w:tl2br w:val="nil"/>
              <w:tr2bl w:val="nil"/>
            </w:tcBorders>
            <w:shd w:val="clear" w:color="auto" w:fill="EDEDED"/>
            <w:noWrap w:val="0"/>
            <w:vAlign w:val="top"/>
          </w:tcPr>
          <w:p w14:paraId="7FB98FAC">
            <w:pPr>
              <w:spacing w:beforeLines="0" w:afterLines="0"/>
              <w:rPr>
                <w:rFonts w:hint="default"/>
                <w:sz w:val="22"/>
                <w:szCs w:val="22"/>
              </w:rPr>
            </w:pPr>
            <w:r>
              <w:rPr>
                <w:rFonts w:hint="default"/>
                <w:sz w:val="22"/>
                <w:szCs w:val="22"/>
              </w:rPr>
              <w:t>是否可编辑</w:t>
            </w:r>
          </w:p>
        </w:tc>
        <w:tc>
          <w:tcPr>
            <w:tcW w:w="0" w:type="auto"/>
            <w:tcBorders>
              <w:top w:val="single" w:color="A6A6A6" w:sz="4" w:space="0"/>
              <w:left w:val="single" w:color="A6A6A6" w:sz="4" w:space="0"/>
              <w:bottom w:val="single" w:color="A6A6A6" w:sz="4" w:space="0"/>
              <w:right w:val="single" w:color="A6A6A6" w:sz="4" w:space="0"/>
              <w:tl2br w:val="nil"/>
              <w:tr2bl w:val="nil"/>
            </w:tcBorders>
            <w:shd w:val="clear" w:color="auto" w:fill="EDEDED"/>
            <w:noWrap w:val="0"/>
            <w:vAlign w:val="top"/>
          </w:tcPr>
          <w:p w14:paraId="3A2F4510">
            <w:pPr>
              <w:spacing w:beforeLines="0" w:afterLines="0"/>
              <w:rPr>
                <w:rFonts w:hint="default"/>
                <w:sz w:val="22"/>
                <w:szCs w:val="22"/>
              </w:rPr>
            </w:pPr>
            <w:r>
              <w:rPr>
                <w:rFonts w:hint="default"/>
                <w:sz w:val="22"/>
                <w:szCs w:val="22"/>
              </w:rPr>
              <w:t>编辑范围</w:t>
            </w:r>
          </w:p>
        </w:tc>
      </w:tr>
      <w:tr w14:paraId="0E9E7D54">
        <w:trPr>
          <w:wBefore w:w="0" w:type="dxa"/>
          <w:wAfter w:w="0" w:type="dxa"/>
        </w:trPr>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34380623">
            <w:pPr>
              <w:spacing w:beforeLines="0" w:afterLines="0"/>
              <w:rPr>
                <w:rFonts w:hint="default"/>
                <w:sz w:val="22"/>
                <w:szCs w:val="22"/>
              </w:rPr>
            </w:pPr>
            <w:r>
              <w:rPr>
                <w:rFonts w:hint="default"/>
                <w:sz w:val="22"/>
                <w:szCs w:val="22"/>
              </w:rPr>
              <w:t>待评估</w:t>
            </w:r>
          </w:p>
        </w:tc>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537117A1">
            <w:pPr>
              <w:spacing w:beforeLines="0" w:afterLines="0"/>
              <w:rPr>
                <w:rFonts w:hint="default"/>
                <w:sz w:val="22"/>
                <w:szCs w:val="22"/>
              </w:rPr>
            </w:pPr>
            <w:r>
              <w:rPr>
                <w:rFonts w:hint="default"/>
                <w:sz w:val="22"/>
                <w:szCs w:val="22"/>
              </w:rPr>
              <w:t>否</w:t>
            </w:r>
          </w:p>
        </w:tc>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3F194131">
            <w:pPr>
              <w:spacing w:beforeLines="0" w:afterLines="0"/>
              <w:rPr>
                <w:rFonts w:hint="default"/>
                <w:sz w:val="22"/>
                <w:szCs w:val="22"/>
              </w:rPr>
            </w:pPr>
            <w:r>
              <w:rPr>
                <w:rFonts w:hint="default"/>
                <w:sz w:val="22"/>
                <w:szCs w:val="22"/>
              </w:rPr>
              <w:t>仅可选择”继续测试”或”提交免测”</w:t>
            </w:r>
          </w:p>
        </w:tc>
      </w:tr>
      <w:tr w14:paraId="3E7B6149">
        <w:trPr>
          <w:wBefore w:w="0" w:type="dxa"/>
          <w:wAfter w:w="0" w:type="dxa"/>
        </w:trPr>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5C7F6284">
            <w:pPr>
              <w:spacing w:beforeLines="0" w:afterLines="0"/>
              <w:rPr>
                <w:rFonts w:hint="default"/>
                <w:sz w:val="22"/>
                <w:szCs w:val="22"/>
              </w:rPr>
            </w:pPr>
            <w:r>
              <w:rPr>
                <w:rFonts w:hint="default"/>
                <w:sz w:val="22"/>
                <w:szCs w:val="22"/>
              </w:rPr>
              <w:t>继续测试</w:t>
            </w:r>
          </w:p>
        </w:tc>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24C23DE9">
            <w:pPr>
              <w:spacing w:beforeLines="0" w:afterLines="0"/>
              <w:rPr>
                <w:rFonts w:hint="default"/>
                <w:sz w:val="22"/>
                <w:szCs w:val="22"/>
              </w:rPr>
            </w:pPr>
            <w:r>
              <w:rPr>
                <w:rFonts w:hint="default"/>
                <w:sz w:val="22"/>
                <w:szCs w:val="22"/>
              </w:rPr>
              <w:t>是</w:t>
            </w:r>
          </w:p>
        </w:tc>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3CDF1200">
            <w:pPr>
              <w:spacing w:beforeLines="0" w:afterLines="0"/>
              <w:rPr>
                <w:rFonts w:hint="default"/>
                <w:sz w:val="22"/>
                <w:szCs w:val="22"/>
              </w:rPr>
            </w:pPr>
            <w:r>
              <w:rPr>
                <w:rFonts w:hint="default"/>
                <w:sz w:val="22"/>
                <w:szCs w:val="22"/>
              </w:rPr>
              <w:t>计划开始时间、结束时间、负责人、测试范围等</w:t>
            </w:r>
          </w:p>
        </w:tc>
      </w:tr>
      <w:tr w14:paraId="7A0CD160">
        <w:trPr>
          <w:wBefore w:w="0" w:type="dxa"/>
          <w:wAfter w:w="0" w:type="dxa"/>
        </w:trPr>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76109180">
            <w:pPr>
              <w:spacing w:beforeLines="0" w:afterLines="0"/>
              <w:rPr>
                <w:rFonts w:hint="default"/>
                <w:sz w:val="22"/>
                <w:szCs w:val="22"/>
              </w:rPr>
            </w:pPr>
            <w:r>
              <w:rPr>
                <w:rFonts w:hint="default"/>
                <w:sz w:val="22"/>
                <w:szCs w:val="22"/>
              </w:rPr>
              <w:t>已提交</w:t>
            </w:r>
          </w:p>
        </w:tc>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0212CCDF">
            <w:pPr>
              <w:spacing w:beforeLines="0" w:afterLines="0"/>
              <w:rPr>
                <w:rFonts w:hint="default"/>
                <w:sz w:val="22"/>
                <w:szCs w:val="22"/>
              </w:rPr>
            </w:pPr>
            <w:r>
              <w:rPr>
                <w:rFonts w:hint="default"/>
                <w:sz w:val="22"/>
                <w:szCs w:val="22"/>
              </w:rPr>
              <w:t>否</w:t>
            </w:r>
          </w:p>
        </w:tc>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6AF5E78B">
            <w:pPr>
              <w:spacing w:beforeLines="0" w:afterLines="0"/>
              <w:rPr>
                <w:rFonts w:hint="default"/>
                <w:sz w:val="22"/>
                <w:szCs w:val="22"/>
              </w:rPr>
            </w:pPr>
            <w:r>
              <w:rPr>
                <w:rFonts w:hint="default"/>
                <w:sz w:val="22"/>
                <w:szCs w:val="22"/>
              </w:rPr>
              <w:t>等待审批，防止审批内容不一致</w:t>
            </w:r>
          </w:p>
        </w:tc>
      </w:tr>
      <w:tr w14:paraId="76312B01">
        <w:trPr>
          <w:wBefore w:w="0" w:type="dxa"/>
          <w:wAfter w:w="0" w:type="dxa"/>
        </w:trPr>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7F29B08B">
            <w:pPr>
              <w:spacing w:beforeLines="0" w:afterLines="0"/>
              <w:rPr>
                <w:rFonts w:hint="default"/>
                <w:sz w:val="22"/>
                <w:szCs w:val="22"/>
              </w:rPr>
            </w:pPr>
            <w:r>
              <w:rPr>
                <w:rFonts w:hint="default"/>
                <w:sz w:val="22"/>
                <w:szCs w:val="22"/>
              </w:rPr>
              <w:t>已驳回</w:t>
            </w:r>
          </w:p>
        </w:tc>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6E88E12D">
            <w:pPr>
              <w:spacing w:beforeLines="0" w:afterLines="0"/>
              <w:rPr>
                <w:rFonts w:hint="default"/>
                <w:sz w:val="22"/>
                <w:szCs w:val="22"/>
              </w:rPr>
            </w:pPr>
            <w:r>
              <w:rPr>
                <w:rFonts w:hint="default"/>
                <w:sz w:val="22"/>
                <w:szCs w:val="22"/>
              </w:rPr>
              <w:t>是</w:t>
            </w:r>
          </w:p>
        </w:tc>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6E9EEFD7">
            <w:pPr>
              <w:spacing w:beforeLines="0" w:afterLines="0"/>
              <w:rPr>
                <w:rFonts w:hint="default"/>
                <w:sz w:val="22"/>
                <w:szCs w:val="22"/>
              </w:rPr>
            </w:pPr>
            <w:r>
              <w:rPr>
                <w:rFonts w:hint="default"/>
                <w:sz w:val="22"/>
                <w:szCs w:val="22"/>
              </w:rPr>
              <w:t>根据驳回原因修改计划，修改后再次提交</w:t>
            </w:r>
          </w:p>
        </w:tc>
      </w:tr>
      <w:tr w14:paraId="662ADA11">
        <w:trPr>
          <w:wBefore w:w="0" w:type="dxa"/>
          <w:wAfter w:w="0" w:type="dxa"/>
        </w:trPr>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2A724A3D">
            <w:pPr>
              <w:spacing w:beforeLines="0" w:afterLines="0"/>
              <w:rPr>
                <w:rFonts w:hint="default"/>
                <w:sz w:val="22"/>
                <w:szCs w:val="22"/>
              </w:rPr>
            </w:pPr>
            <w:r>
              <w:rPr>
                <w:rFonts w:hint="default"/>
                <w:sz w:val="22"/>
                <w:szCs w:val="22"/>
              </w:rPr>
              <w:t>审批通过及后续状态</w:t>
            </w:r>
          </w:p>
        </w:tc>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6FAFC129">
            <w:pPr>
              <w:spacing w:beforeLines="0" w:afterLines="0"/>
              <w:rPr>
                <w:rFonts w:hint="default"/>
                <w:sz w:val="22"/>
                <w:szCs w:val="22"/>
              </w:rPr>
            </w:pPr>
            <w:r>
              <w:rPr>
                <w:rFonts w:hint="default"/>
                <w:sz w:val="22"/>
                <w:szCs w:val="22"/>
              </w:rPr>
              <w:t>受限</w:t>
            </w:r>
          </w:p>
        </w:tc>
        <w:tc>
          <w:tcPr>
            <w:tcW w:w="0" w:type="auto"/>
            <w:tcBorders>
              <w:top w:val="single" w:color="A6A6A6" w:sz="4" w:space="0"/>
              <w:left w:val="single" w:color="A6A6A6" w:sz="4" w:space="0"/>
              <w:bottom w:val="single" w:color="A6A6A6" w:sz="4" w:space="0"/>
              <w:right w:val="single" w:color="A6A6A6" w:sz="4" w:space="0"/>
              <w:tl2br w:val="nil"/>
              <w:tr2bl w:val="nil"/>
            </w:tcBorders>
            <w:noWrap w:val="0"/>
            <w:vAlign w:val="top"/>
          </w:tcPr>
          <w:p w14:paraId="03135493">
            <w:pPr>
              <w:spacing w:beforeLines="0" w:afterLines="0"/>
              <w:rPr>
                <w:rFonts w:hint="default"/>
                <w:sz w:val="22"/>
                <w:szCs w:val="22"/>
              </w:rPr>
            </w:pPr>
            <w:r>
              <w:rPr>
                <w:rFonts w:hint="default"/>
                <w:sz w:val="22"/>
                <w:szCs w:val="22"/>
              </w:rPr>
              <w:t>按测试计划生命周期规则控制</w:t>
            </w:r>
          </w:p>
        </w:tc>
      </w:tr>
      <w:bookmarkEnd w:id="35"/>
      <w:bookmarkEnd w:id="38"/>
    </w:tbl>
    <w:p w14:paraId="75FB9E2E">
      <w:pPr>
        <w:pStyle w:val="4"/>
        <w:spacing w:beforeLines="0" w:afterLines="0"/>
        <w:rPr>
          <w:rFonts w:hint="default"/>
          <w:sz w:val="26"/>
          <w:szCs w:val="26"/>
        </w:rPr>
      </w:pPr>
      <w:r>
        <w:rPr>
          <w:rFonts w:hint="eastAsia" w:ascii="黑体" w:hAnsi="黑体" w:eastAsia="黑体"/>
          <w:sz w:val="26"/>
          <w:szCs w:val="26"/>
        </w:rPr>
        <w:t xml:space="preserve">12 </w:t>
      </w:r>
      <w:r>
        <w:rPr>
          <w:rFonts w:hint="default" w:ascii="ＭＳ ゴシック"/>
          <w:sz w:val="26"/>
          <w:szCs w:val="26"/>
        </w:rPr>
        <w:t>非功能性需求</w:t>
      </w:r>
    </w:p>
    <w:p w14:paraId="78D46229">
      <w:pPr>
        <w:pStyle w:val="5"/>
        <w:spacing w:beforeLines="0" w:afterLines="0"/>
        <w:rPr>
          <w:rFonts w:hint="default"/>
          <w:sz w:val="22"/>
          <w:szCs w:val="22"/>
        </w:rPr>
      </w:pPr>
      <w:bookmarkStart w:id="39" w:name="资料归档"/>
      <w:r>
        <w:rPr>
          <w:rFonts w:hint="eastAsia" w:ascii="黑体" w:hAnsi="黑体" w:eastAsia="黑体"/>
          <w:sz w:val="22"/>
          <w:szCs w:val="22"/>
        </w:rPr>
        <w:t xml:space="preserve">12.1 </w:t>
      </w:r>
      <w:r>
        <w:rPr>
          <w:rFonts w:hint="default" w:ascii="ＭＳ ゴシック"/>
          <w:sz w:val="22"/>
          <w:szCs w:val="22"/>
        </w:rPr>
        <w:t>资料归档</w:t>
      </w:r>
    </w:p>
    <w:p w14:paraId="34B7BB0A">
      <w:pPr>
        <w:spacing w:beforeLines="0" w:afterLines="0"/>
        <w:rPr>
          <w:rFonts w:hint="default"/>
          <w:sz w:val="22"/>
          <w:szCs w:val="22"/>
        </w:rPr>
      </w:pPr>
      <w:r>
        <w:rPr>
          <w:rFonts w:hint="default"/>
          <w:sz w:val="22"/>
          <w:szCs w:val="22"/>
        </w:rPr>
        <w:t>系统应保证测试计划、测试用例、缺陷台账、测试报告和复测记录等数据统一归档，保存期限不少于 3 年，全程可追溯。</w:t>
      </w:r>
    </w:p>
    <w:bookmarkEnd w:id="39"/>
    <w:p w14:paraId="79FDE219">
      <w:pPr>
        <w:pStyle w:val="5"/>
        <w:spacing w:beforeLines="0" w:afterLines="0"/>
        <w:rPr>
          <w:rFonts w:hint="default"/>
          <w:sz w:val="22"/>
          <w:szCs w:val="22"/>
        </w:rPr>
      </w:pPr>
      <w:bookmarkStart w:id="40" w:name="权限管理"/>
      <w:r>
        <w:rPr>
          <w:rFonts w:hint="eastAsia" w:ascii="黑体" w:hAnsi="黑体" w:eastAsia="黑体"/>
          <w:sz w:val="22"/>
          <w:szCs w:val="22"/>
        </w:rPr>
        <w:t xml:space="preserve">12.2 </w:t>
      </w:r>
      <w:r>
        <w:rPr>
          <w:rFonts w:hint="default" w:ascii="ＭＳ ゴシック"/>
          <w:sz w:val="22"/>
          <w:szCs w:val="22"/>
        </w:rPr>
        <w:t>权限管理</w:t>
      </w:r>
    </w:p>
    <w:p w14:paraId="5B3EE5AD">
      <w:pPr>
        <w:spacing w:beforeLines="0" w:afterLines="0"/>
        <w:rPr>
          <w:rFonts w:hint="default"/>
          <w:sz w:val="22"/>
          <w:szCs w:val="22"/>
        </w:rPr>
      </w:pPr>
      <w:r>
        <w:rPr>
          <w:rFonts w:hint="default"/>
          <w:sz w:val="22"/>
          <w:szCs w:val="22"/>
        </w:rPr>
        <w:t>系统应按角色分配功能权限和数据权限，确保各岗位只能执行其职责范围内的操作。</w:t>
      </w:r>
    </w:p>
    <w:bookmarkEnd w:id="40"/>
    <w:p w14:paraId="08FB3EB5">
      <w:pPr>
        <w:pStyle w:val="5"/>
        <w:spacing w:beforeLines="0" w:afterLines="0"/>
        <w:rPr>
          <w:rFonts w:hint="default"/>
          <w:sz w:val="22"/>
          <w:szCs w:val="22"/>
        </w:rPr>
      </w:pPr>
      <w:r>
        <w:rPr>
          <w:rFonts w:hint="eastAsia" w:ascii="黑体" w:hAnsi="黑体" w:eastAsia="黑体"/>
          <w:sz w:val="22"/>
          <w:szCs w:val="22"/>
        </w:rPr>
        <w:t xml:space="preserve">12.3 </w:t>
      </w:r>
      <w:r>
        <w:rPr>
          <w:rFonts w:hint="default" w:ascii="ＭＳ ゴシック"/>
          <w:sz w:val="22"/>
          <w:szCs w:val="22"/>
        </w:rPr>
        <w:t>操作留痕</w:t>
      </w:r>
    </w:p>
    <w:p w14:paraId="606B40A6">
      <w:pPr>
        <w:spacing w:beforeLines="0" w:afterLines="0"/>
        <w:rPr>
          <w:rFonts w:hint="default"/>
          <w:sz w:val="22"/>
          <w:szCs w:val="22"/>
        </w:rPr>
      </w:pPr>
      <w:r>
        <w:rPr>
          <w:rFonts w:hint="default"/>
          <w:sz w:val="22"/>
          <w:szCs w:val="22"/>
        </w:rPr>
        <w:t>系统应对关键操作（状态变更、计划修改、审批操作、缺陷提交等）进行日志记录，记录操作人、操作时间和操作内容。</w:t>
      </w:r>
    </w:p>
    <w:p w14:paraId="1212CEC7"/>
    <w:bookmarkEnd w:id="0"/>
    <w:bookmarkEnd w:id="1"/>
    <w:bookmarkEnd w:id="2"/>
    <w:sectPr>
      <w:pgSz w:w="12240" w:h="15840"/>
      <w:pgMar w:top="1440" w:right="1800" w:bottom="1440" w:left="1800" w:header="720" w:footer="720" w:gutter="0"/>
      <w:lnNumType w:countBy="0" w:distance="36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Symbol">
    <w:altName w:val="Kingsoft Sign"/>
    <w:panose1 w:val="05050102010706020507"/>
    <w:charset w:val="00"/>
    <w:family w:val="roman"/>
    <w:pitch w:val="default"/>
    <w:sig w:usb0="00000000" w:usb1="00000000" w:usb2="00000000" w:usb3="00000000" w:csb0="00040001"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黑体">
    <w:altName w:val="汉仪中黑KW"/>
    <w:panose1 w:val="02010609060101010101"/>
    <w:charset w:val="00"/>
    <w:family w:val="auto"/>
    <w:pitch w:val="default"/>
    <w:sig w:usb0="00000000"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F7282C"/>
    <w:multiLevelType w:val="multilevel"/>
    <w:tmpl w:val="BFF7282C"/>
    <w:lvl w:ilvl="0" w:tentative="0">
      <w:start w:val="1"/>
      <w:numFmt w:val="decimal"/>
      <w:lvlText w:val="%1."/>
      <w:lvlJc w:val="left"/>
      <w:pPr>
        <w:ind w:left="720" w:hanging="360"/>
      </w:pPr>
      <w:rPr>
        <w:rFonts w:hint="default"/>
        <w:u w:val="none" w:color="auto"/>
      </w:rPr>
    </w:lvl>
    <w:lvl w:ilvl="1" w:tentative="0">
      <w:start w:val="1"/>
      <w:numFmt w:val="decimal"/>
      <w:lvlText w:val="%2."/>
      <w:lvlJc w:val="left"/>
      <w:pPr>
        <w:ind w:left="1440" w:hanging="360"/>
      </w:pPr>
      <w:rPr>
        <w:rFonts w:hint="default"/>
        <w:u w:val="none" w:color="auto"/>
      </w:rPr>
    </w:lvl>
    <w:lvl w:ilvl="2" w:tentative="0">
      <w:start w:val="1"/>
      <w:numFmt w:val="decimal"/>
      <w:lvlText w:val="%3."/>
      <w:lvlJc w:val="left"/>
      <w:pPr>
        <w:ind w:left="2160" w:hanging="360"/>
      </w:pPr>
      <w:rPr>
        <w:rFonts w:hint="default"/>
        <w:u w:val="none" w:color="auto"/>
      </w:rPr>
    </w:lvl>
    <w:lvl w:ilvl="3" w:tentative="0">
      <w:start w:val="1"/>
      <w:numFmt w:val="decimal"/>
      <w:lvlText w:val="%4."/>
      <w:lvlJc w:val="left"/>
      <w:pPr>
        <w:ind w:left="2880" w:hanging="360"/>
      </w:pPr>
      <w:rPr>
        <w:rFonts w:hint="default"/>
        <w:u w:val="none" w:color="auto"/>
      </w:rPr>
    </w:lvl>
    <w:lvl w:ilvl="4" w:tentative="0">
      <w:start w:val="1"/>
      <w:numFmt w:val="decimal"/>
      <w:lvlText w:val="%5."/>
      <w:lvlJc w:val="left"/>
      <w:pPr>
        <w:ind w:left="3600" w:hanging="360"/>
      </w:pPr>
      <w:rPr>
        <w:rFonts w:hint="default"/>
        <w:u w:val="none" w:color="auto"/>
      </w:rPr>
    </w:lvl>
    <w:lvl w:ilvl="5" w:tentative="0">
      <w:start w:val="1"/>
      <w:numFmt w:val="decimal"/>
      <w:lvlText w:val="%6."/>
      <w:lvlJc w:val="left"/>
      <w:pPr>
        <w:ind w:left="4320" w:hanging="360"/>
      </w:pPr>
      <w:rPr>
        <w:rFonts w:hint="default"/>
        <w:u w:val="none" w:color="auto"/>
      </w:rPr>
    </w:lvl>
    <w:lvl w:ilvl="6" w:tentative="0">
      <w:start w:val="1"/>
      <w:numFmt w:val="decimal"/>
      <w:lvlText w:val="%7."/>
      <w:lvlJc w:val="left"/>
      <w:pPr>
        <w:ind w:left="5040" w:hanging="360"/>
      </w:pPr>
      <w:rPr>
        <w:rFonts w:hint="default"/>
        <w:u w:val="none" w:color="auto"/>
      </w:rPr>
    </w:lvl>
    <w:lvl w:ilvl="7" w:tentative="0">
      <w:start w:val="1"/>
      <w:numFmt w:val="decimal"/>
      <w:lvlText w:val="%8."/>
      <w:lvlJc w:val="left"/>
      <w:pPr>
        <w:ind w:left="5760" w:hanging="360"/>
      </w:pPr>
      <w:rPr>
        <w:rFonts w:hint="default"/>
        <w:u w:val="none" w:color="auto"/>
      </w:rPr>
    </w:lvl>
    <w:lvl w:ilvl="8" w:tentative="0">
      <w:start w:val="1"/>
      <w:numFmt w:val="decimal"/>
      <w:lvlText w:val="%9."/>
      <w:lvlJc w:val="left"/>
      <w:pPr>
        <w:ind w:left="6480" w:hanging="360"/>
      </w:pPr>
      <w:rPr>
        <w:rFonts w:hint="default"/>
        <w:u w:val="none" w:color="auto"/>
      </w:rPr>
    </w:lvl>
  </w:abstractNum>
  <w:abstractNum w:abstractNumId="1">
    <w:nsid w:val="FDCFA9FB"/>
    <w:multiLevelType w:val="multilevel"/>
    <w:tmpl w:val="FDCFA9FB"/>
    <w:lvl w:ilvl="0" w:tentative="0">
      <w:start w:val="1"/>
      <w:numFmt w:val="decimal"/>
      <w:lvlText w:val="%1."/>
      <w:lvlJc w:val="left"/>
      <w:pPr>
        <w:ind w:left="720" w:hanging="360"/>
      </w:pPr>
      <w:rPr>
        <w:rFonts w:hint="default"/>
        <w:u w:val="none" w:color="auto"/>
      </w:rPr>
    </w:lvl>
    <w:lvl w:ilvl="1" w:tentative="0">
      <w:start w:val="1"/>
      <w:numFmt w:val="decimal"/>
      <w:lvlText w:val="%2."/>
      <w:lvlJc w:val="left"/>
      <w:pPr>
        <w:ind w:left="1440" w:hanging="360"/>
      </w:pPr>
      <w:rPr>
        <w:rFonts w:hint="default"/>
        <w:u w:val="none" w:color="auto"/>
      </w:rPr>
    </w:lvl>
    <w:lvl w:ilvl="2" w:tentative="0">
      <w:start w:val="1"/>
      <w:numFmt w:val="decimal"/>
      <w:lvlText w:val="%3."/>
      <w:lvlJc w:val="left"/>
      <w:pPr>
        <w:ind w:left="2160" w:hanging="360"/>
      </w:pPr>
      <w:rPr>
        <w:rFonts w:hint="default"/>
        <w:u w:val="none" w:color="auto"/>
      </w:rPr>
    </w:lvl>
    <w:lvl w:ilvl="3" w:tentative="0">
      <w:start w:val="1"/>
      <w:numFmt w:val="decimal"/>
      <w:lvlText w:val="%4."/>
      <w:lvlJc w:val="left"/>
      <w:pPr>
        <w:ind w:left="2880" w:hanging="360"/>
      </w:pPr>
      <w:rPr>
        <w:rFonts w:hint="default"/>
        <w:u w:val="none" w:color="auto"/>
      </w:rPr>
    </w:lvl>
    <w:lvl w:ilvl="4" w:tentative="0">
      <w:start w:val="1"/>
      <w:numFmt w:val="decimal"/>
      <w:lvlText w:val="%5."/>
      <w:lvlJc w:val="left"/>
      <w:pPr>
        <w:ind w:left="3600" w:hanging="360"/>
      </w:pPr>
      <w:rPr>
        <w:rFonts w:hint="default"/>
        <w:u w:val="none" w:color="auto"/>
      </w:rPr>
    </w:lvl>
    <w:lvl w:ilvl="5" w:tentative="0">
      <w:start w:val="1"/>
      <w:numFmt w:val="decimal"/>
      <w:lvlText w:val="%6."/>
      <w:lvlJc w:val="left"/>
      <w:pPr>
        <w:ind w:left="4320" w:hanging="360"/>
      </w:pPr>
      <w:rPr>
        <w:rFonts w:hint="default"/>
        <w:u w:val="none" w:color="auto"/>
      </w:rPr>
    </w:lvl>
    <w:lvl w:ilvl="6" w:tentative="0">
      <w:start w:val="1"/>
      <w:numFmt w:val="decimal"/>
      <w:lvlText w:val="%7."/>
      <w:lvlJc w:val="left"/>
      <w:pPr>
        <w:ind w:left="5040" w:hanging="360"/>
      </w:pPr>
      <w:rPr>
        <w:rFonts w:hint="default"/>
        <w:u w:val="none" w:color="auto"/>
      </w:rPr>
    </w:lvl>
    <w:lvl w:ilvl="7" w:tentative="0">
      <w:start w:val="1"/>
      <w:numFmt w:val="decimal"/>
      <w:lvlText w:val="%8."/>
      <w:lvlJc w:val="left"/>
      <w:pPr>
        <w:ind w:left="5760" w:hanging="360"/>
      </w:pPr>
      <w:rPr>
        <w:rFonts w:hint="default"/>
        <w:u w:val="none" w:color="auto"/>
      </w:rPr>
    </w:lvl>
    <w:lvl w:ilvl="8" w:tentative="0">
      <w:start w:val="1"/>
      <w:numFmt w:val="decimal"/>
      <w:lvlText w:val="%9."/>
      <w:lvlJc w:val="left"/>
      <w:pPr>
        <w:ind w:left="6480" w:hanging="360"/>
      </w:pPr>
      <w:rPr>
        <w:rFonts w:hint="default"/>
        <w:u w:val="none" w:color="auto"/>
      </w:rPr>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1"/>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EFFAB1D"/>
    <w:rsid w:val="2775320D"/>
    <w:rsid w:val="5FF6534E"/>
    <w:rsid w:val="7CBF2F34"/>
    <w:rsid w:val="AAFF0E5B"/>
    <w:rsid w:val="ECF9410C"/>
    <w:rsid w:val="F5EFB4B7"/>
    <w:rsid w:val="FEFB05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rPr>
      <w:rFonts w:eastAsia="黑体"/>
    </w:rPr>
  </w:style>
  <w:style w:type="paragraph" w:customStyle="1" w:styleId="164">
    <w:name w:val="Source Code"/>
    <w:uiPriority w:val="0"/>
    <w:pPr>
      <w:wordWrap w:val="0"/>
    </w:pPr>
    <w:rPr>
      <w:rFonts w:asciiTheme="minorHAnsi" w:hAnsiTheme="minorHAnsi" w:eastAsiaTheme="minorEastAsia" w:cstheme="minorBidi"/>
    </w:rPr>
  </w:style>
  <w:style w:type="character" w:customStyle="1" w:styleId="165">
    <w:name w:val="KeywordTok"/>
    <w:uiPriority w:val="0"/>
    <w:rPr>
      <w:b/>
      <w:color w:val="007020"/>
    </w:rPr>
  </w:style>
  <w:style w:type="character" w:customStyle="1" w:styleId="166">
    <w:name w:val="DataTypeTok"/>
    <w:uiPriority w:val="0"/>
    <w:rPr>
      <w:color w:val="902000"/>
    </w:rPr>
  </w:style>
  <w:style w:type="character" w:customStyle="1" w:styleId="167">
    <w:name w:val="DecValTok"/>
    <w:uiPriority w:val="0"/>
    <w:rPr>
      <w:color w:val="40A070"/>
    </w:rPr>
  </w:style>
  <w:style w:type="character" w:customStyle="1" w:styleId="168">
    <w:name w:val="BaseNTok"/>
    <w:uiPriority w:val="0"/>
    <w:rPr>
      <w:color w:val="40A070"/>
    </w:rPr>
  </w:style>
  <w:style w:type="character" w:customStyle="1" w:styleId="169">
    <w:name w:val="FloatTok"/>
    <w:uiPriority w:val="0"/>
    <w:rPr>
      <w:color w:val="40A070"/>
    </w:rPr>
  </w:style>
  <w:style w:type="character" w:customStyle="1" w:styleId="170">
    <w:name w:val="ConstantTok"/>
    <w:uiPriority w:val="0"/>
    <w:rPr>
      <w:color w:val="880000"/>
    </w:rPr>
  </w:style>
  <w:style w:type="character" w:customStyle="1" w:styleId="171">
    <w:name w:val="CharTok"/>
    <w:uiPriority w:val="0"/>
    <w:rPr>
      <w:color w:val="4070A0"/>
    </w:rPr>
  </w:style>
  <w:style w:type="character" w:customStyle="1" w:styleId="172">
    <w:name w:val="SpecialCharTok"/>
    <w:uiPriority w:val="0"/>
    <w:rPr>
      <w:color w:val="4070A0"/>
    </w:rPr>
  </w:style>
  <w:style w:type="character" w:customStyle="1" w:styleId="173">
    <w:name w:val="StringTok"/>
    <w:uiPriority w:val="0"/>
    <w:rPr>
      <w:color w:val="4070A0"/>
    </w:rPr>
  </w:style>
  <w:style w:type="character" w:customStyle="1" w:styleId="174">
    <w:name w:val="VerbatimStringTok"/>
    <w:uiPriority w:val="0"/>
    <w:rPr>
      <w:color w:val="4070A0"/>
    </w:rPr>
  </w:style>
  <w:style w:type="character" w:customStyle="1" w:styleId="175">
    <w:name w:val="SpecialStringTok"/>
    <w:uiPriority w:val="0"/>
    <w:rPr>
      <w:color w:val="BB6688"/>
    </w:rPr>
  </w:style>
  <w:style w:type="character" w:customStyle="1" w:styleId="176">
    <w:name w:val="ImportTok"/>
    <w:uiPriority w:val="0"/>
    <w:rPr>
      <w:b/>
      <w:color w:val="008000"/>
    </w:rPr>
  </w:style>
  <w:style w:type="character" w:customStyle="1" w:styleId="177">
    <w:name w:val="CommentTok"/>
    <w:uiPriority w:val="0"/>
    <w:rPr>
      <w:i/>
      <w:color w:val="60A0B0"/>
    </w:rPr>
  </w:style>
  <w:style w:type="character" w:customStyle="1" w:styleId="178">
    <w:name w:val="DocumentationTok"/>
    <w:uiPriority w:val="0"/>
    <w:rPr>
      <w:i/>
      <w:color w:val="BA2121"/>
    </w:rPr>
  </w:style>
  <w:style w:type="character" w:customStyle="1" w:styleId="179">
    <w:name w:val="AnnotationTok"/>
    <w:uiPriority w:val="0"/>
    <w:rPr>
      <w:b/>
      <w:i/>
      <w:color w:val="60A0B0"/>
    </w:rPr>
  </w:style>
  <w:style w:type="character" w:customStyle="1" w:styleId="180">
    <w:name w:val="CommentVarTok"/>
    <w:uiPriority w:val="0"/>
    <w:rPr>
      <w:b/>
      <w:i/>
      <w:color w:val="60A0B0"/>
    </w:rPr>
  </w:style>
  <w:style w:type="character" w:customStyle="1" w:styleId="181">
    <w:name w:val="OtherTok"/>
    <w:uiPriority w:val="0"/>
    <w:rPr>
      <w:color w:val="007020"/>
    </w:rPr>
  </w:style>
  <w:style w:type="character" w:customStyle="1" w:styleId="182">
    <w:name w:val="FunctionTok"/>
    <w:uiPriority w:val="0"/>
    <w:rPr>
      <w:color w:val="06287E"/>
    </w:rPr>
  </w:style>
  <w:style w:type="character" w:customStyle="1" w:styleId="183">
    <w:name w:val="VariableTok"/>
    <w:uiPriority w:val="0"/>
    <w:rPr>
      <w:color w:val="19177C"/>
    </w:rPr>
  </w:style>
  <w:style w:type="character" w:customStyle="1" w:styleId="184">
    <w:name w:val="ControlFlowTok"/>
    <w:uiPriority w:val="0"/>
    <w:rPr>
      <w:b/>
      <w:color w:val="007020"/>
    </w:rPr>
  </w:style>
  <w:style w:type="character" w:customStyle="1" w:styleId="185">
    <w:name w:val="OperatorTok"/>
    <w:uiPriority w:val="0"/>
    <w:rPr>
      <w:color w:val="666666"/>
    </w:rPr>
  </w:style>
  <w:style w:type="character" w:customStyle="1" w:styleId="186">
    <w:name w:val="BuiltInTok"/>
    <w:uiPriority w:val="0"/>
    <w:rPr>
      <w:color w:val="008000"/>
    </w:rPr>
  </w:style>
  <w:style w:type="character" w:customStyle="1" w:styleId="187">
    <w:name w:val="ExtensionTok"/>
    <w:uiPriority w:val="0"/>
  </w:style>
  <w:style w:type="character" w:customStyle="1" w:styleId="188">
    <w:name w:val="PreprocessorTok"/>
    <w:uiPriority w:val="0"/>
    <w:rPr>
      <w:color w:val="BC7A00"/>
    </w:rPr>
  </w:style>
  <w:style w:type="character" w:customStyle="1" w:styleId="189">
    <w:name w:val="AttributeTok"/>
    <w:uiPriority w:val="0"/>
    <w:rPr>
      <w:color w:val="7D9029"/>
    </w:rPr>
  </w:style>
  <w:style w:type="character" w:customStyle="1" w:styleId="190">
    <w:name w:val="RegionMarkerTok"/>
    <w:uiPriority w:val="0"/>
  </w:style>
  <w:style w:type="character" w:customStyle="1" w:styleId="191">
    <w:name w:val="InformationTok"/>
    <w:uiPriority w:val="0"/>
    <w:rPr>
      <w:b/>
      <w:i/>
      <w:color w:val="60A0B0"/>
    </w:rPr>
  </w:style>
  <w:style w:type="character" w:customStyle="1" w:styleId="192">
    <w:name w:val="WarningTok"/>
    <w:uiPriority w:val="0"/>
    <w:rPr>
      <w:b/>
      <w:i/>
      <w:color w:val="60A0B0"/>
    </w:rPr>
  </w:style>
  <w:style w:type="character" w:customStyle="1" w:styleId="193">
    <w:name w:val="AlertTok"/>
    <w:uiPriority w:val="0"/>
    <w:rPr>
      <w:b/>
      <w:color w:val="FF0000"/>
    </w:rPr>
  </w:style>
  <w:style w:type="character" w:customStyle="1" w:styleId="194">
    <w:name w:val="ErrorTok"/>
    <w:uiPriority w:val="0"/>
    <w:rPr>
      <w:b/>
      <w:color w:val="FF0000"/>
    </w:rPr>
  </w:style>
  <w:style w:type="character" w:customStyle="1" w:styleId="195">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2026-07-08T14:11:00Z</dcterms:created>
  <dc:creator>青春派</dc:creator>
  <cp:lastModifiedBy>青春派</cp:lastModifiedBy>
  <dcterms:modified xsi:type="dcterms:W3CDTF">2026-07-08T14:17:37Z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C735D0D1AD52D509CFEA4D6ADB64CDC6_42</vt:lpwstr>
  </property>
</Properties>
</file>