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MeterSphere用例页面改造：金山文档中台V7集成方案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结合你提供的三份文档来看，</w:t>
      </w:r>
      <w:r>
        <w:rPr>
          <w:rFonts w:eastAsia="等线" w:ascii="Arial" w:cs="Arial" w:hAnsi="Arial"/>
          <w:b w:val="true"/>
          <w:sz w:val="22"/>
        </w:rPr>
        <w:t>金山文档中台 V7 是当前场景下精准度最高、落地最稳妥的方案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它和你之前了解的「完整文档中心」不是一类产品 —— 文档中台是纯原子化的能力输出组件，没有自带的文件管理、用户体系、云盘等冗余功能，专门用于嵌入第三方业务系统，正好匹配你「在 MeterSphere 内改造用例页面、要类 Excel 体验、支持合并单元格、数据全留内网」的全部核心诉求，既解决了维格云不支持合并单元格的硬伤，又避免了完整文档中心的功能冗余与成本浪费，完全符合瑞众保险的内网合规要求。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一、你的改造需求 vs 文档中台能力逐条匹配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对照第三份文档的测试平台改造目标，结合前两份白皮书的官方能力，验证如下：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核心刚需：类 Excel 操作 + 跨行跨列合并单元格 → 完美支持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这是你排除维格云的核心原因，也是文档中台的天然优势：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表格在线编辑基于 WPS 原生内核，</w:t>
      </w:r>
      <w:r>
        <w:rPr>
          <w:rFonts w:eastAsia="等线" w:ascii="Arial" w:cs="Arial" w:hAnsi="Arial"/>
          <w:b w:val="true"/>
          <w:sz w:val="22"/>
        </w:rPr>
        <w:t>完整支持任意跨行、跨列合并单元格</w:t>
      </w:r>
      <w:r>
        <w:rPr>
          <w:rFonts w:eastAsia="等线" w:ascii="Arial" w:cs="Arial" w:hAnsi="Arial"/>
          <w:sz w:val="22"/>
        </w:rPr>
        <w:t>，包括多级表头、批量合并相同值、取消合并智能回填，操作逻辑和本地 WPS/Excel 完全一致，测试人员零学习成本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深度兼容.xlsx/.xls 全格式，你现有的 Excel 用例模板可以直接导入使用，合并单元格、行高列宽、边框样式、筛选冻结、基础公式等格式 100% 还原，不会出现格式错乱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除合并单元格外，还支持条件格式、数据验证、批量填充、排序筛选等全部常用表格能力，完全满足测试用例批量编写、关联梳理的场景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架构诉求：数据本地存储、与测试计划关联 → 原生适配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文档中台 V7 采用</w:t>
      </w:r>
      <w:r>
        <w:rPr>
          <w:rFonts w:eastAsia="等线" w:ascii="Arial" w:cs="Arial" w:hAnsi="Arial"/>
          <w:b w:val="true"/>
          <w:sz w:val="22"/>
        </w:rPr>
        <w:t>纯无状态架构，自身不持久化任何业务数据</w:t>
      </w:r>
      <w:r>
        <w:rPr>
          <w:rFonts w:eastAsia="等线" w:ascii="Arial" w:cs="Arial" w:hAnsi="Arial"/>
          <w:sz w:val="22"/>
        </w:rPr>
        <w:t>，完全对接你 MeterSphere 的存储体系，这是它最适合你场景的核心设计：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所有用例文件、版本、结构化数据全部存储在你自建的 MySQL 表和内网存储中，文档中台仅负责渲染和编辑计算，不留存任何文件副本，严格满足保险内网数据不出域的监管要求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数据关联逻辑完全由你自主控制：进入对应测试计划时，MeterSphere 从自有库读取用例数据生成 Excel，再调用中台渲染；编辑保存后回调回传文件，你自行解析同步到用例表，天然和测试计划一一绑定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完美契合你「新建独立表结构、与原生功能完全隔离」的改造方案，不侵入 MeterSphere 原有数据体系，风险可控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合规约束：内网私有化 + 信创 + 等保要求 → 完全满足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部署形态</w:t>
      </w:r>
      <w:r>
        <w:rPr>
          <w:rFonts w:eastAsia="等线" w:ascii="Arial" w:cs="Arial" w:hAnsi="Arial"/>
          <w:sz w:val="22"/>
        </w:rPr>
        <w:t>：支持完全离线私有化部署，无任何外网回传依赖，可直接部署在 MeterSphere 所在的测试内网域，同网络分区运行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部署灵活度</w:t>
      </w:r>
      <w:r>
        <w:rPr>
          <w:rFonts w:eastAsia="等线" w:ascii="Arial" w:cs="Arial" w:hAnsi="Arial"/>
          <w:sz w:val="22"/>
        </w:rPr>
        <w:t>：最低单机 1 台即可运行，生产环境支持 2~7 节点高可用；测试场景单节点 4C8G 完全够用，资源占用仅为完整文档中心的 1/3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信创适配</w:t>
      </w:r>
      <w:r>
        <w:rPr>
          <w:rFonts w:eastAsia="等线" w:ascii="Arial" w:cs="Arial" w:hAnsi="Arial"/>
          <w:sz w:val="22"/>
        </w:rPr>
        <w:t>：已适配鲲鹏、海光、飞腾全系列国产 CPU，兼容银河麒麟、统信 UOS 等国产操作系统，符合保险行业信创改造要求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安全合规</w:t>
      </w:r>
      <w:r>
        <w:rPr>
          <w:rFonts w:eastAsia="等线" w:ascii="Arial" w:cs="Arial" w:hAnsi="Arial"/>
          <w:sz w:val="22"/>
        </w:rPr>
        <w:t>：内置动态水印、细粒度权限管控、全量操作留痕，支持国密算法，已有北京农商银行等多家金融机构落地案例，满足等保三级与保险内控要求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体系兼容：复用 MeterSphere 账号权限 → 无缝对接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文档中台没有独立的用户管理体系，完全通过回调机制对接业务系统账号：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直接复用 MeterSphere 的用户、角色、项目权限体系，通过回调接口传递用户身份与读写权限，无需额外维护账号，也可无缝对接公司统一 AD/LDAP 身份源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可精细控制复制、导出、打印、重命名等操作权限，和 MeterSphere 项目角色对齐，满足测试数据安全管控要求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二、结合你改造计划的具体落地方案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对应你「新建测试计划页面、改造关联用例页、独立数据表」的规划，集成路径非常清晰，完全遵循白皮书的接入规范：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部署层：轻量化同域部署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MeterSphere 所在的测试内网域，部署 1~2 台文档中台服务（单机用于测试验证，主备用于生产），可复用现有 Redis、分布式存储资源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内网域名解析，与 MeterSphere 同网络分区，无需跨域访问，符合网络边界管控规范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集成层：页面嵌入 + 回调对接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（1）前端嵌入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在你新建的「关联用例」页面中，通过 iframe 加载文档中台的在线表格编辑链接，视觉上完全融入 MeterSphere 界面，用户无感知跳转。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（2）后端核心对接流程（严格对应白皮书接入规范）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获取编辑链接</w:t>
      </w:r>
      <w:r>
        <w:rPr>
          <w:rFonts w:eastAsia="等线" w:ascii="Arial" w:cs="Arial" w:hAnsi="Arial"/>
          <w:sz w:val="22"/>
        </w:rPr>
        <w:t>：用户进入测试计划的关联用例页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MeterSphere 后端从自建的用例数据表中读取数据，生成对应.xlsx 文件（首次可直接导入现有 Excel 模板）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使用分配的 ak/sk 生成 WPS-4 签名，调用文档中台「获取在线编辑链接」接口（</w:t>
      </w:r>
      <w:r>
        <w:rPr>
          <w:rFonts w:eastAsia="Consolas" w:ascii="Consolas" w:cs="Consolas" w:hAnsi="Consolas"/>
          <w:sz w:val="22"/>
          <w:shd w:fill="EFF0F1"/>
        </w:rPr>
        <w:t>/api/edit/v1/files/{file_id}/link</w:t>
      </w:r>
      <w:r>
        <w:rPr>
          <w:rFonts w:eastAsia="等线" w:ascii="Arial" w:cs="Arial" w:hAnsi="Arial"/>
          <w:sz w:val="22"/>
        </w:rPr>
        <w:t>，type=s 表格类型）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 iframe 加载编辑链接，渲染表格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保存同步</w:t>
      </w:r>
      <w:r>
        <w:rPr>
          <w:rFonts w:eastAsia="等线" w:ascii="Arial" w:cs="Arial" w:hAnsi="Arial"/>
          <w:sz w:val="22"/>
        </w:rPr>
        <w:t>：用户编辑后触发保存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文档中台自动调用「上传文件新版本」回调，将最新 Excel 文件流回传给 MeterSphere 后端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MeterSphere 后端解析 Excel 内容，同步更新自建的用例数据表，实现「表格可视化编辑 → 结构化数据存储」的双向同步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版本号、修改人、修改时间全部由你自行管理，满足审计回溯要求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权限与水印</w:t>
      </w:r>
      <w:r>
        <w:rPr>
          <w:rFonts w:eastAsia="等线" w:ascii="Arial" w:cs="Arial" w:hAnsi="Arial"/>
          <w:sz w:val="22"/>
        </w:rPr>
        <w:t>：通过「获取文件元数据」回调，返回当前用户的读写权限、动态水印参数，实现与 MeterSphere 角色对齐的权限管控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数据层：完全自主可控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用例结构化数据存储在你新建的 MySQL 表中，和测试计划一一关联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文件作为中间载体，可留存历史版本，满足审计要求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全程数据不经过任何外部服务，全链路在内网闭环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三、相比其他方案的核心优势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对比金山完整文档中心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无功能冗余</w:t>
      </w:r>
      <w:r>
        <w:rPr>
          <w:rFonts w:eastAsia="等线" w:ascii="Arial" w:cs="Arial" w:hAnsi="Arial"/>
          <w:sz w:val="22"/>
        </w:rPr>
        <w:t>：不需要云盘、文档管理、全员协同等 90% 你用不上的能力，纯表格编辑能力输出，采购成本大幅降低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数据更可控</w:t>
      </w:r>
      <w:r>
        <w:rPr>
          <w:rFonts w:eastAsia="等线" w:ascii="Arial" w:cs="Arial" w:hAnsi="Arial"/>
          <w:sz w:val="22"/>
        </w:rPr>
        <w:t>：文件和权限完全在 MeterSphere 体系内，不用两套账号、两套存储，没有数据孤岛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部署更轻量</w:t>
      </w:r>
      <w:r>
        <w:rPr>
          <w:rFonts w:eastAsia="等线" w:ascii="Arial" w:cs="Arial" w:hAnsi="Arial"/>
          <w:sz w:val="22"/>
        </w:rPr>
        <w:t>：单机即可运行，资源占用远低于完整文档中心的 3 节点集群要求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对比维格云私有化（50 万 / 年）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解决核心硬伤</w:t>
      </w:r>
      <w:r>
        <w:rPr>
          <w:rFonts w:eastAsia="等线" w:ascii="Arial" w:cs="Arial" w:hAnsi="Arial"/>
          <w:sz w:val="22"/>
        </w:rPr>
        <w:t>：完美支持合并单元格，兼容现有 Excel 用例模板，不用改变测试人员工作习惯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成本大幅降低</w:t>
      </w:r>
      <w:r>
        <w:rPr>
          <w:rFonts w:eastAsia="等线" w:ascii="Arial" w:cs="Arial" w:hAnsi="Arial"/>
          <w:sz w:val="22"/>
        </w:rPr>
        <w:t>：文档中台按并发数 / 项目授权，不限用户数量，测试场景并发量低，年成本远低于 50 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合规性更强</w:t>
      </w:r>
      <w:r>
        <w:rPr>
          <w:rFonts w:eastAsia="等线" w:ascii="Arial" w:cs="Arial" w:hAnsi="Arial"/>
          <w:sz w:val="22"/>
        </w:rPr>
        <w:t>：金山在金融行业落地案例更丰富，信创、等保、国密资质齐全，采购审批阻力更小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对比纯前端表格控件（如 SpreadJS）</w:t>
      </w:r>
      <w:bookmarkEnd w:id="1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集成更快</w:t>
      </w:r>
      <w:r>
        <w:rPr>
          <w:rFonts w:eastAsia="等线" w:ascii="Arial" w:cs="Arial" w:hAnsi="Arial"/>
          <w:sz w:val="22"/>
        </w:rPr>
        <w:t>：标准 iframe + 回调模式，开发量远小于纯前端控件的深度集成，对接周期可缩短一半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格式兼容性更好</w:t>
      </w:r>
      <w:r>
        <w:rPr>
          <w:rFonts w:eastAsia="等线" w:ascii="Arial" w:cs="Arial" w:hAnsi="Arial"/>
          <w:sz w:val="22"/>
        </w:rPr>
        <w:t>：WPS 原生内核，对复杂 Excel、合并单元格、公式的还原度优于纯前端控件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原厂兜底</w:t>
      </w:r>
      <w:r>
        <w:rPr>
          <w:rFonts w:eastAsia="等线" w:ascii="Arial" w:cs="Arial" w:hAnsi="Arial"/>
          <w:sz w:val="22"/>
        </w:rPr>
        <w:t>：金山官方技术支持，合规资质齐全，适合正式生产场景，无需自行承担运维与合规风险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四、落地关键注意事项</w:t>
      </w:r>
      <w:bookmarkEnd w:id="1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开发工作量集中在数据双向同步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文档中台只负责表格编辑，「Excel 解析→结构化用例表同步」的逻辑需要自行开发。建议先固定用例模板的字段与列顺序，降低解析复杂度，后续再逐步放开灵活性。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无需开启多人协同能力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你明确不需要在线协同，可按单用户编辑模式对接，简化回调逻辑，同时降低服务资源消耗与授权成本。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建议先做 POC 验证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可先向金山申请文档中台的测试授权，在测试环境做 1~2 周的 POC，重点验证三项：合并单元格兼容性、内网部署稳定性、回调对接的顺畅度，确认满足需求后再走正式采购。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授权模式参考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私有化文档中台通常按</w:t>
      </w:r>
      <w:r>
        <w:rPr>
          <w:rFonts w:eastAsia="等线" w:ascii="Arial" w:cs="Arial" w:hAnsi="Arial"/>
          <w:b w:val="true"/>
          <w:sz w:val="22"/>
        </w:rPr>
        <w:t>并发文档数</w:t>
      </w:r>
      <w:r>
        <w:rPr>
          <w:rFonts w:eastAsia="等线" w:ascii="Arial" w:cs="Arial" w:hAnsi="Arial"/>
          <w:sz w:val="22"/>
        </w:rPr>
        <w:t>授权，不限用户数量和接入应用数。测试团队场景下，20 并发以内即可满足需求，整体成本远低于维格云的 50 万 / 年报价。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最终建议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如果你的核心目标是</w:t>
      </w:r>
      <w:r>
        <w:rPr>
          <w:rFonts w:eastAsia="等线" w:ascii="Arial" w:cs="Arial" w:hAnsi="Arial"/>
          <w:b w:val="true"/>
          <w:sz w:val="22"/>
        </w:rPr>
        <w:t>在 MeterSphere 内做出类 Excel 的用例编辑体验，同时满足瑞众内网的合规与数据管控要求</w:t>
      </w:r>
      <w:r>
        <w:rPr>
          <w:rFonts w:eastAsia="等线" w:ascii="Arial" w:cs="Arial" w:hAnsi="Arial"/>
          <w:sz w:val="22"/>
        </w:rPr>
        <w:t>，金山文档中台 V7 是当前最优解。它既避开了完整文档中心的功能冗余，又解决了多维表不支持合并单元格的天生短板，开发集成难度适中，且完全符合保险行业的采购与合规体系。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需要我帮你整理一份 POC 验证的步骤清单，或者把对接开发用到的核心接口整理成精简版对接方案吗？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7146">
    <w:lvl>
      <w:numFmt w:val="bullet"/>
      <w:suff w:val="tab"/>
      <w:lvlText w:val="•"/>
      <w:rPr>
        <w:color w:val="3370ff"/>
      </w:rPr>
    </w:lvl>
  </w:abstractNum>
  <w:abstractNum w:abstractNumId="1407147">
    <w:lvl>
      <w:numFmt w:val="bullet"/>
      <w:suff w:val="tab"/>
      <w:lvlText w:val="•"/>
      <w:rPr>
        <w:color w:val="3370ff"/>
      </w:rPr>
    </w:lvl>
  </w:abstractNum>
  <w:abstractNum w:abstractNumId="1407148">
    <w:lvl>
      <w:numFmt w:val="bullet"/>
      <w:suff w:val="tab"/>
      <w:lvlText w:val="•"/>
      <w:rPr>
        <w:color w:val="3370ff"/>
      </w:rPr>
    </w:lvl>
  </w:abstractNum>
  <w:abstractNum w:abstractNumId="1407149">
    <w:lvl>
      <w:numFmt w:val="bullet"/>
      <w:suff w:val="tab"/>
      <w:lvlText w:val="•"/>
      <w:rPr>
        <w:color w:val="3370ff"/>
      </w:rPr>
    </w:lvl>
  </w:abstractNum>
  <w:abstractNum w:abstractNumId="1407150">
    <w:lvl>
      <w:numFmt w:val="bullet"/>
      <w:suff w:val="tab"/>
      <w:lvlText w:val="•"/>
      <w:rPr>
        <w:color w:val="3370ff"/>
      </w:rPr>
    </w:lvl>
  </w:abstractNum>
  <w:abstractNum w:abstractNumId="1407151">
    <w:lvl>
      <w:numFmt w:val="bullet"/>
      <w:suff w:val="tab"/>
      <w:lvlText w:val="•"/>
      <w:rPr>
        <w:color w:val="3370ff"/>
      </w:rPr>
    </w:lvl>
  </w:abstractNum>
  <w:abstractNum w:abstractNumId="1407152">
    <w:lvl>
      <w:numFmt w:val="bullet"/>
      <w:suff w:val="tab"/>
      <w:lvlText w:val="•"/>
      <w:rPr>
        <w:color w:val="3370ff"/>
      </w:rPr>
    </w:lvl>
  </w:abstractNum>
  <w:abstractNum w:abstractNumId="1407153">
    <w:lvl>
      <w:numFmt w:val="bullet"/>
      <w:suff w:val="tab"/>
      <w:lvlText w:val="•"/>
      <w:rPr>
        <w:color w:val="3370ff"/>
      </w:rPr>
    </w:lvl>
  </w:abstractNum>
  <w:abstractNum w:abstractNumId="1407154">
    <w:lvl>
      <w:numFmt w:val="bullet"/>
      <w:suff w:val="tab"/>
      <w:lvlText w:val="•"/>
      <w:rPr>
        <w:color w:val="3370ff"/>
      </w:rPr>
    </w:lvl>
  </w:abstractNum>
  <w:abstractNum w:abstractNumId="1407155">
    <w:lvl>
      <w:numFmt w:val="bullet"/>
      <w:suff w:val="tab"/>
      <w:lvlText w:val="•"/>
      <w:rPr>
        <w:color w:val="3370ff"/>
      </w:rPr>
    </w:lvl>
  </w:abstractNum>
  <w:abstractNum w:abstractNumId="1407156">
    <w:lvl>
      <w:numFmt w:val="bullet"/>
      <w:suff w:val="tab"/>
      <w:lvlText w:val="•"/>
      <w:rPr>
        <w:color w:val="3370ff"/>
      </w:rPr>
    </w:lvl>
  </w:abstractNum>
  <w:abstractNum w:abstractNumId="1407157">
    <w:lvl>
      <w:numFmt w:val="bullet"/>
      <w:suff w:val="tab"/>
      <w:lvlText w:val="•"/>
      <w:rPr>
        <w:color w:val="3370ff"/>
      </w:rPr>
    </w:lvl>
  </w:abstractNum>
  <w:abstractNum w:abstractNumId="1407158">
    <w:lvl>
      <w:numFmt w:val="bullet"/>
      <w:suff w:val="tab"/>
      <w:lvlText w:val="•"/>
      <w:rPr>
        <w:color w:val="3370ff"/>
      </w:rPr>
    </w:lvl>
  </w:abstractNum>
  <w:abstractNum w:abstractNumId="1407159">
    <w:lvl>
      <w:numFmt w:val="bullet"/>
      <w:suff w:val="tab"/>
      <w:lvlText w:val="•"/>
      <w:rPr>
        <w:color w:val="3370ff"/>
      </w:rPr>
    </w:lvl>
  </w:abstractNum>
  <w:abstractNum w:abstractNumId="1407160">
    <w:lvl>
      <w:start w:val="1"/>
      <w:numFmt w:val="decimal"/>
      <w:suff w:val="tab"/>
      <w:lvlText w:val="%1."/>
      <w:rPr>
        <w:color w:val="3370ff"/>
      </w:rPr>
    </w:lvl>
  </w:abstractNum>
  <w:abstractNum w:abstractNumId="1407161">
    <w:lvl>
      <w:numFmt w:val="bullet"/>
      <w:suff w:val="tab"/>
      <w:lvlText w:val="￮"/>
      <w:rPr>
        <w:color w:val="3370ff"/>
      </w:rPr>
    </w:lvl>
  </w:abstractNum>
  <w:abstractNum w:abstractNumId="1407162">
    <w:lvl>
      <w:numFmt w:val="bullet"/>
      <w:suff w:val="tab"/>
      <w:lvlText w:val="￮"/>
      <w:rPr>
        <w:color w:val="3370ff"/>
      </w:rPr>
    </w:lvl>
  </w:abstractNum>
  <w:abstractNum w:abstractNumId="1407163">
    <w:lvl>
      <w:numFmt w:val="bullet"/>
      <w:suff w:val="tab"/>
      <w:lvlText w:val="￮"/>
      <w:rPr>
        <w:color w:val="3370ff"/>
      </w:rPr>
    </w:lvl>
  </w:abstractNum>
  <w:abstractNum w:abstractNumId="1407164">
    <w:lvl>
      <w:start w:val="2"/>
      <w:numFmt w:val="decimal"/>
      <w:suff w:val="tab"/>
      <w:lvlText w:val="%1."/>
      <w:rPr>
        <w:color w:val="3370ff"/>
      </w:rPr>
    </w:lvl>
  </w:abstractNum>
  <w:abstractNum w:abstractNumId="1407165">
    <w:lvl>
      <w:numFmt w:val="bullet"/>
      <w:suff w:val="tab"/>
      <w:lvlText w:val="￮"/>
      <w:rPr>
        <w:color w:val="3370ff"/>
      </w:rPr>
    </w:lvl>
  </w:abstractNum>
  <w:abstractNum w:abstractNumId="1407166">
    <w:lvl>
      <w:numFmt w:val="bullet"/>
      <w:suff w:val="tab"/>
      <w:lvlText w:val="￮"/>
      <w:rPr>
        <w:color w:val="3370ff"/>
      </w:rPr>
    </w:lvl>
  </w:abstractNum>
  <w:abstractNum w:abstractNumId="1407167">
    <w:lvl>
      <w:numFmt w:val="bullet"/>
      <w:suff w:val="tab"/>
      <w:lvlText w:val="￮"/>
      <w:rPr>
        <w:color w:val="3370ff"/>
      </w:rPr>
    </w:lvl>
  </w:abstractNum>
  <w:abstractNum w:abstractNumId="1407168">
    <w:lvl>
      <w:start w:val="3"/>
      <w:numFmt w:val="decimal"/>
      <w:suff w:val="tab"/>
      <w:lvlText w:val="%1."/>
      <w:rPr>
        <w:color w:val="3370ff"/>
      </w:rPr>
    </w:lvl>
  </w:abstractNum>
  <w:abstractNum w:abstractNumId="1407169">
    <w:lvl>
      <w:numFmt w:val="bullet"/>
      <w:suff w:val="tab"/>
      <w:lvlText w:val="•"/>
      <w:rPr>
        <w:color w:val="3370ff"/>
      </w:rPr>
    </w:lvl>
  </w:abstractNum>
  <w:abstractNum w:abstractNumId="1407170">
    <w:lvl>
      <w:numFmt w:val="bullet"/>
      <w:suff w:val="tab"/>
      <w:lvlText w:val="•"/>
      <w:rPr>
        <w:color w:val="3370ff"/>
      </w:rPr>
    </w:lvl>
  </w:abstractNum>
  <w:abstractNum w:abstractNumId="1407171">
    <w:lvl>
      <w:numFmt w:val="bullet"/>
      <w:suff w:val="tab"/>
      <w:lvlText w:val="•"/>
      <w:rPr>
        <w:color w:val="3370ff"/>
      </w:rPr>
    </w:lvl>
  </w:abstractNum>
  <w:abstractNum w:abstractNumId="1407172">
    <w:lvl>
      <w:numFmt w:val="bullet"/>
      <w:suff w:val="tab"/>
      <w:lvlText w:val="•"/>
      <w:rPr>
        <w:color w:val="3370ff"/>
      </w:rPr>
    </w:lvl>
  </w:abstractNum>
  <w:abstractNum w:abstractNumId="1407173">
    <w:lvl>
      <w:numFmt w:val="bullet"/>
      <w:suff w:val="tab"/>
      <w:lvlText w:val="•"/>
      <w:rPr>
        <w:color w:val="3370ff"/>
      </w:rPr>
    </w:lvl>
  </w:abstractNum>
  <w:abstractNum w:abstractNumId="1407174">
    <w:lvl>
      <w:numFmt w:val="bullet"/>
      <w:suff w:val="tab"/>
      <w:lvlText w:val="•"/>
      <w:rPr>
        <w:color w:val="3370ff"/>
      </w:rPr>
    </w:lvl>
  </w:abstractNum>
  <w:abstractNum w:abstractNumId="1407175">
    <w:lvl>
      <w:numFmt w:val="bullet"/>
      <w:suff w:val="tab"/>
      <w:lvlText w:val="•"/>
      <w:rPr>
        <w:color w:val="3370ff"/>
      </w:rPr>
    </w:lvl>
  </w:abstractNum>
  <w:abstractNum w:abstractNumId="1407176">
    <w:lvl>
      <w:numFmt w:val="bullet"/>
      <w:suff w:val="tab"/>
      <w:lvlText w:val="•"/>
      <w:rPr>
        <w:color w:val="3370ff"/>
      </w:rPr>
    </w:lvl>
  </w:abstractNum>
  <w:abstractNum w:abstractNumId="1407177">
    <w:lvl>
      <w:numFmt w:val="bullet"/>
      <w:suff w:val="tab"/>
      <w:lvlText w:val="•"/>
      <w:rPr>
        <w:color w:val="3370ff"/>
      </w:rPr>
    </w:lvl>
  </w:abstractNum>
  <w:abstractNum w:abstractNumId="1407178">
    <w:lvl>
      <w:numFmt w:val="bullet"/>
      <w:suff w:val="tab"/>
      <w:lvlText w:val="•"/>
      <w:rPr>
        <w:color w:val="3370ff"/>
      </w:rPr>
    </w:lvl>
  </w:abstractNum>
  <w:abstractNum w:abstractNumId="1407179">
    <w:lvl>
      <w:numFmt w:val="bullet"/>
      <w:suff w:val="tab"/>
      <w:lvlText w:val="•"/>
      <w:rPr>
        <w:color w:val="3370ff"/>
      </w:rPr>
    </w:lvl>
  </w:abstractNum>
  <w:abstractNum w:abstractNumId="1407180">
    <w:lvl>
      <w:numFmt w:val="bullet"/>
      <w:suff w:val="tab"/>
      <w:lvlText w:val="•"/>
      <w:rPr>
        <w:color w:val="3370ff"/>
      </w:rPr>
    </w:lvl>
  </w:abstractNum>
  <w:abstractNum w:abstractNumId="1407181">
    <w:lvl>
      <w:start w:val="1"/>
      <w:numFmt w:val="decimal"/>
      <w:suff w:val="tab"/>
      <w:lvlText w:val="%1."/>
      <w:rPr>
        <w:color w:val="3370ff"/>
      </w:rPr>
    </w:lvl>
  </w:abstractNum>
  <w:abstractNum w:abstractNumId="1407182">
    <w:lvl>
      <w:start w:val="2"/>
      <w:numFmt w:val="decimal"/>
      <w:suff w:val="tab"/>
      <w:lvlText w:val="%1."/>
      <w:rPr>
        <w:color w:val="3370ff"/>
      </w:rPr>
    </w:lvl>
  </w:abstractNum>
  <w:abstractNum w:abstractNumId="1407183">
    <w:lvl>
      <w:start w:val="3"/>
      <w:numFmt w:val="decimal"/>
      <w:suff w:val="tab"/>
      <w:lvlText w:val="%1."/>
      <w:rPr>
        <w:color w:val="3370ff"/>
      </w:rPr>
    </w:lvl>
  </w:abstractNum>
  <w:abstractNum w:abstractNumId="140718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407146"/>
  </w:num>
  <w:num w:numId="2">
    <w:abstractNumId w:val="1407147"/>
  </w:num>
  <w:num w:numId="3">
    <w:abstractNumId w:val="1407148"/>
  </w:num>
  <w:num w:numId="4">
    <w:abstractNumId w:val="1407149"/>
  </w:num>
  <w:num w:numId="5">
    <w:abstractNumId w:val="1407150"/>
  </w:num>
  <w:num w:numId="6">
    <w:abstractNumId w:val="1407151"/>
  </w:num>
  <w:num w:numId="7">
    <w:abstractNumId w:val="1407152"/>
  </w:num>
  <w:num w:numId="8">
    <w:abstractNumId w:val="1407153"/>
  </w:num>
  <w:num w:numId="9">
    <w:abstractNumId w:val="1407154"/>
  </w:num>
  <w:num w:numId="10">
    <w:abstractNumId w:val="1407155"/>
  </w:num>
  <w:num w:numId="11">
    <w:abstractNumId w:val="1407156"/>
  </w:num>
  <w:num w:numId="12">
    <w:abstractNumId w:val="1407157"/>
  </w:num>
  <w:num w:numId="13">
    <w:abstractNumId w:val="1407158"/>
  </w:num>
  <w:num w:numId="14">
    <w:abstractNumId w:val="1407159"/>
  </w:num>
  <w:num w:numId="15">
    <w:abstractNumId w:val="1407160"/>
  </w:num>
  <w:num w:numId="16">
    <w:abstractNumId w:val="1407161"/>
  </w:num>
  <w:num w:numId="17">
    <w:abstractNumId w:val="1407162"/>
  </w:num>
  <w:num w:numId="18">
    <w:abstractNumId w:val="1407163"/>
  </w:num>
  <w:num w:numId="19">
    <w:abstractNumId w:val="1407164"/>
  </w:num>
  <w:num w:numId="20">
    <w:abstractNumId w:val="1407165"/>
  </w:num>
  <w:num w:numId="21">
    <w:abstractNumId w:val="1407166"/>
  </w:num>
  <w:num w:numId="22">
    <w:abstractNumId w:val="1407167"/>
  </w:num>
  <w:num w:numId="23">
    <w:abstractNumId w:val="1407168"/>
  </w:num>
  <w:num w:numId="24">
    <w:abstractNumId w:val="1407169"/>
  </w:num>
  <w:num w:numId="25">
    <w:abstractNumId w:val="1407170"/>
  </w:num>
  <w:num w:numId="26">
    <w:abstractNumId w:val="1407171"/>
  </w:num>
  <w:num w:numId="27">
    <w:abstractNumId w:val="1407172"/>
  </w:num>
  <w:num w:numId="28">
    <w:abstractNumId w:val="1407173"/>
  </w:num>
  <w:num w:numId="29">
    <w:abstractNumId w:val="1407174"/>
  </w:num>
  <w:num w:numId="30">
    <w:abstractNumId w:val="1407175"/>
  </w:num>
  <w:num w:numId="31">
    <w:abstractNumId w:val="1407176"/>
  </w:num>
  <w:num w:numId="32">
    <w:abstractNumId w:val="1407177"/>
  </w:num>
  <w:num w:numId="33">
    <w:abstractNumId w:val="1407178"/>
  </w:num>
  <w:num w:numId="34">
    <w:abstractNumId w:val="1407179"/>
  </w:num>
  <w:num w:numId="35">
    <w:abstractNumId w:val="1407180"/>
  </w:num>
  <w:num w:numId="36">
    <w:abstractNumId w:val="1407181"/>
  </w:num>
  <w:num w:numId="37">
    <w:abstractNumId w:val="1407182"/>
  </w:num>
  <w:num w:numId="38">
    <w:abstractNumId w:val="1407183"/>
  </w:num>
  <w:num w:numId="39">
    <w:abstractNumId w:val="14071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2026-06-17T09:03:26Z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{"Label":"1","ContentProducer":"001191110102MACQD9K64010000","ProduceID":"7652287412882312152","ReservedCode1":"","ContentPropagator":"","PropagateID":"","ReservedCode2":""}</vt:lpwstr>
  </property>
</Properties>
</file>