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b w:val="0"/>
          <w:sz w:val="32"/>
        </w:rPr>
        <w:t>精英教育顶端的性别结构：基于中国30省高考状元数据库的描述性证据（2000–2026）</w:t>
      </w:r>
    </w:p>
    <w:p>
      <w:r>
        <w:t>工作论文 v2.0（按匿名评审意见重构）· 2026-08-10</w:t>
      </w:r>
    </w:p>
    <w:p>
      <w:pPr>
        <w:pStyle w:val="Heading2"/>
      </w:pPr>
      <w:r>
        <w:rPr>
          <w:rFonts w:ascii="黑体" w:hAnsi="黑体"/>
          <w:b w:val="0"/>
          <w:sz w:val="28"/>
        </w:rPr>
        <w:t>摘要</w:t>
      </w:r>
    </w:p>
    <w:p>
      <w:r>
        <w:t>教育研究中一个未充分回答的问题是：在具有最高可见度的考试中（“第一名”的性别）构成了怎样的筛选机制？本文基于自建的高考状元数据库（30省、2598条记录），提供首个全国尺度描述。核心发现：（1）状元呈现“双重性别结构”：文科女性占76.6%、理科39.3%，上下界口径下稳健；（2）省际逾十倍悬殊（理科江西4.3% vs 江苏56%）；（3）“排名”本质上是制度产物：标准分制造446条同分并列（跨性别为零），禁炒令则消除了状元的社会可见性。探索性持续性分析未发现省级女状元效应。本文定位为理论驱动的描述性证据。</w:t>
      </w:r>
    </w:p>
    <w:p>
      <w:r>
        <w:t>关键词：高考状元；性别；描述性证据；数据库；禁炒令</w:t>
      </w:r>
    </w:p>
    <w:p>
      <w:pPr>
        <w:pStyle w:val="Heading2"/>
      </w:pPr>
      <w:r>
        <w:rPr>
          <w:rFonts w:ascii="黑体" w:hAnsi="黑体"/>
          <w:b w:val="0"/>
          <w:sz w:val="28"/>
        </w:rPr>
        <w:t>Abstract</w:t>
      </w:r>
    </w:p>
    <w:p>
      <w:r>
        <w:t>Who reaches the very top in the world’s largest high-stakes examination, and what determines whether their achievement is seen? This paper introduces the China Gaokao Top Scorer Database (30 provinces, 2,598 records, 1956–2026) to document three institutional patterns: (1) A dual gender structure: 76.6% of humanities top scorers are female versus 39.3% in science, robust to bounds analysis; (2) Tenfold provincial heterogeneity: the science female share ranges from 4.3% (Jiangxi) to 56% (Jiangsu); (3) Rankings as institutional constructs: the standard-score system produces 446 tied observations with zero cross-gender ties, while the nationwide publicity ban gradually erases the social category of top scorer. Exploratory persistence analysis finds no evidence of a female top-scorer effect on subsequent cohorts. The paper is positioned as theory-motivated descriptive evidence for understanding gender at the elite peak.</w:t>
      </w:r>
    </w:p>
    <w:p>
      <w:r>
        <w:t>Keywords: Gaokao top scorers; gender; descriptive evidence; database; publicity ban</w:t>
      </w:r>
    </w:p>
    <w:p>
      <w:r>
        <w:t>JEL Classification: I21, I24, J16</w:t>
      </w:r>
    </w:p>
    <w:p>
      <w:pPr>
        <w:pStyle w:val="Heading2"/>
      </w:pPr>
      <w:r>
        <w:rPr>
          <w:rFonts w:ascii="黑体" w:hAnsi="黑体"/>
          <w:b w:val="0"/>
          <w:sz w:val="28"/>
        </w:rPr>
        <w:t>一、引言</w:t>
      </w:r>
    </w:p>
    <w:p>
      <w:r>
        <w:t>高考状元是中国教育体系中可见度最高的成绩信号。理解状元的性别结构，本质上是追问：在极端竞争的教育顶端，性别构成了怎样的筛选机制：是能力的自然分布，还是制度设计的反映？既有文献在班级层面证明了第一名的性别影响同伴（Qin et al. 2026），在职业领域确认了女性榜样的力量（Beaman et al. 2012；Breda et al. 2023），但“最顶端”的性别构成（即“谁能成为第一”）本身仍未得到全国性的系统刻画。本文填补这一空白：基于自建的30省2598条状元记录，提供理论驱动的描述性证据。</w:t>
      </w:r>
    </w:p>
    <w:p>
      <w:r>
        <w:t>值得强调的是本文的定位：这是一篇数据与描述性事实论文，不声称因果识别。状元是极端值观测，基于极端的描述无法直接外推至成绩分布的主体；因此本文提供的是一组"需要被解释的事实"，而非解释本身。</w:t>
      </w:r>
    </w:p>
    <w:p>
      <w:pPr>
        <w:pStyle w:val="Heading2"/>
      </w:pPr>
      <w:r>
        <w:rPr>
          <w:rFonts w:ascii="黑体" w:hAnsi="黑体"/>
          <w:b w:val="0"/>
          <w:sz w:val="28"/>
        </w:rPr>
        <w:t>二、制度背景</w:t>
      </w:r>
    </w:p>
    <w:p>
      <w:pPr>
        <w:pStyle w:val="Heading3"/>
      </w:pPr>
      <w:r>
        <w:rPr>
          <w:rFonts w:ascii="黑体" w:hAnsi="黑体"/>
          <w:b w:val="0"/>
          <w:sz w:val="26"/>
        </w:rPr>
        <w:t>2.1 状元制度与可见度</w:t>
      </w:r>
    </w:p>
    <w:p>
      <w:r>
        <w:t>自 1977 年恢复高考，"状元"称谓延续科举传统。省状元具备三重特征：绝对稀缺（每省每年文理各 1 名或并列若干）、高度可见（全国性媒体报道、学校喜报、家庭传播）、身份明确（姓名、学校、分数公开）。这一可见度结构是理解"顶端信号"的社会经济功能的前提。</w:t>
      </w:r>
    </w:p>
    <w:p>
      <w:pPr>
        <w:pStyle w:val="Heading3"/>
      </w:pPr>
      <w:r>
        <w:rPr>
          <w:rFonts w:ascii="黑体" w:hAnsi="黑体"/>
          <w:b w:val="0"/>
          <w:sz w:val="26"/>
        </w:rPr>
        <w:t>2.2 排名作为制度的产物：考试模式与分数制度</w:t>
      </w:r>
    </w:p>
    <w:p>
      <w:r>
        <w:t>各省高考模式经历多轮改革，其变化不仅是技术性的。它直接决定了“谁是第一”以及“有多少个第一”。一个核心观察：“排名”并非能力的自然呈现，而是考试刻度（measurement design）的函数。</w:t>
      </w:r>
    </w:p>
    <w:p>
      <w:r>
        <w:t>2000 年以来各省经历多轮改革：主流为"3+X 文理综合"（多数省 2001 年起）、标准分 900 分制（河南 1994–2000、山东 1996–2000、海南全期）、浙江 810 分制（2009–2016 含自选模块）、江苏 480 分制（2008–2020）、上海 660 分制（2017 起）、云南量化成绩制（2019–2024），以及分批推进的新高考（3+3 或 3+1+2，2017 年起）。分数制度多样性意味着跨省比较必须标准化，本文数据库逐条标注口径。</w:t>
      </w:r>
    </w:p>
    <w:p>
      <w:pPr>
        <w:pStyle w:val="Heading3"/>
      </w:pPr>
      <w:r>
        <w:rPr>
          <w:rFonts w:ascii="黑体" w:hAnsi="黑体"/>
          <w:b w:val="0"/>
          <w:sz w:val="26"/>
        </w:rPr>
        <w:t>2.3 禁炒令与匿名化</w:t>
      </w:r>
    </w:p>
    <w:p>
      <w:r>
        <w:t>2005 年前后教育部首次明令禁止炒作高考状元，2010、2018 年两度收紧，各省执行力度分化。本文数据记录各省匿名化起始年：青海 2018、北京 2021、内蒙古 2023、重庆与新疆 2024、天津/辽宁/陕西/宁夏 2026。这组省级异质性为"成绩可见度"研究提供潜在的自然实验来源。</w:t>
      </w:r>
    </w:p>
    <w:p>
      <w:pPr>
        <w:pStyle w:val="Heading2"/>
      </w:pPr>
      <w:r>
        <w:rPr>
          <w:rFonts w:ascii="黑体" w:hAnsi="黑体"/>
          <w:b w:val="0"/>
          <w:sz w:val="28"/>
        </w:rPr>
        <w:t>三、数据：构建、质量与覆盖</w:t>
      </w:r>
    </w:p>
    <w:p>
      <w:pPr>
        <w:pStyle w:val="Heading3"/>
      </w:pPr>
      <w:r>
        <w:rPr>
          <w:rFonts w:ascii="黑体" w:hAnsi="黑体"/>
          <w:b w:val="0"/>
          <w:sz w:val="26"/>
        </w:rPr>
        <w:t>3.1 构建过程</w:t>
      </w:r>
    </w:p>
    <w:p>
      <w:r>
        <w:t>基础名单来自知乎专栏作者"未来的每一天"的 28 篇省级历年状元汇编（覆盖 28 省），辅以用户提供的海南数据（2006–2025）与媒体交叉核验（中国教育在线、新浪教育、学信网）。字段包括：省份、年份、轨道（文/理/外语类/大综合/物理类/历史类/3+3 不分科）、姓名、性别、总分、毕业学校、并列标记、含加分标记、录取院校、备注（分科成绩、裸分、复读、移民、保送、匿名化等）。</w:t>
      </w:r>
    </w:p>
    <w:p>
      <w:pPr>
        <w:pStyle w:val="Heading3"/>
      </w:pPr>
      <w:r>
        <w:rPr>
          <w:rFonts w:ascii="黑体" w:hAnsi="黑体"/>
          <w:b w:val="0"/>
          <w:sz w:val="26"/>
        </w:rPr>
        <w:t>3.2 质量控制（四层）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宋体" w:hAnsi="宋体"/>
                <w:b/>
                <w:sz w:val="21"/>
              </w:rPr>
              <w:t>层级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/>
                <w:sz w:val="21"/>
              </w:rPr>
              <w:t>内容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/>
                <w:sz w:val="21"/>
              </w:rPr>
              <w:t>结果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① 原文核对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知乎原文与用户提供文本逐条比对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全部一致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② 独立来源核验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教育在线盘点 20 篇；新浪 2008 专题 172 条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零实质性错误；128 条精确匹配 + 31 条裸分/总分口径差异（差值恰等于加分，反向验证双轨标注）+ 3 处媒体用字差异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③ 性别确认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四通道：原文代词 / 官方档案 / 数据驱动姓名特征初筛（去姓氏、尾字加权，回测可判者中女 91.4%、男 88.7%）/ 少数民族名语义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确认率 60.7%（女 789 / 男 787 / 未确认 1022）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④ 抽检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20% 分层抽检 104 条 + 媒体报道外部验证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4/4 命中，纠正入库遗漏 2 处</w:t>
            </w:r>
          </w:p>
        </w:tc>
      </w:tr>
    </w:tbl>
    <w:p>
      <w:pPr>
        <w:pStyle w:val="Heading3"/>
      </w:pPr>
      <w:r>
        <w:rPr>
          <w:rFonts w:ascii="黑体" w:hAnsi="黑体"/>
          <w:b w:val="0"/>
          <w:sz w:val="26"/>
        </w:rPr>
        <w:t>3.3 覆盖与已知局限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宋体" w:hAnsi="宋体"/>
                <w:b/>
                <w:sz w:val="21"/>
              </w:rPr>
              <w:t>维度</w:t>
            </w:r>
          </w:p>
        </w:tc>
        <w:tc>
          <w:tcPr>
            <w:tcW w:type="dxa" w:w="4419"/>
          </w:tcPr>
          <w:p>
            <w:r>
              <w:rPr>
                <w:rFonts w:ascii="宋体" w:hAnsi="宋体"/>
                <w:b/>
                <w:sz w:val="21"/>
              </w:rPr>
              <w:t>数值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/>
                <w:b w:val="0"/>
                <w:sz w:val="21"/>
              </w:rPr>
              <w:t>省份</w:t>
            </w:r>
          </w:p>
        </w:tc>
        <w:tc>
          <w:tcPr>
            <w:tcW w:type="dxa" w:w="4419"/>
          </w:tcPr>
          <w:p>
            <w:r>
              <w:rPr>
                <w:rFonts w:ascii="宋体" w:hAnsi="宋体"/>
                <w:b w:val="0"/>
                <w:sz w:val="21"/>
              </w:rPr>
              <w:t>30（不含港澳台/西藏）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/>
                <w:b w:val="0"/>
                <w:sz w:val="21"/>
              </w:rPr>
              <w:t>记录数</w:t>
            </w:r>
          </w:p>
        </w:tc>
        <w:tc>
          <w:tcPr>
            <w:tcW w:type="dxa" w:w="4419"/>
          </w:tcPr>
          <w:p>
            <w:r>
              <w:rPr>
                <w:rFonts w:ascii="宋体" w:hAnsi="宋体"/>
                <w:b w:val="0"/>
                <w:sz w:val="21"/>
              </w:rPr>
              <w:t>2598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/>
                <w:b w:val="0"/>
                <w:sz w:val="21"/>
              </w:rPr>
              <w:t>年份跨度</w:t>
            </w:r>
          </w:p>
        </w:tc>
        <w:tc>
          <w:tcPr>
            <w:tcW w:type="dxa" w:w="4419"/>
          </w:tcPr>
          <w:p>
            <w:r>
              <w:rPr>
                <w:rFonts w:ascii="宋体" w:hAnsi="宋体"/>
                <w:b w:val="0"/>
                <w:sz w:val="21"/>
              </w:rPr>
              <w:t>1956–2026（主分析期 2000–2024）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/>
                <w:b w:val="0"/>
                <w:sz w:val="21"/>
              </w:rPr>
              <w:t>含分数记录</w:t>
            </w:r>
          </w:p>
        </w:tc>
        <w:tc>
          <w:tcPr>
            <w:tcW w:type="dxa" w:w="4419"/>
          </w:tcPr>
          <w:p>
            <w:r>
              <w:rPr>
                <w:rFonts w:ascii="宋体" w:hAnsi="宋体"/>
                <w:b w:val="0"/>
                <w:sz w:val="21"/>
              </w:rPr>
              <w:t>2142（82.4%）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/>
                <w:b w:val="0"/>
                <w:sz w:val="21"/>
              </w:rPr>
              <w:t>含加分标记</w:t>
            </w:r>
          </w:p>
        </w:tc>
        <w:tc>
          <w:tcPr>
            <w:tcW w:type="dxa" w:w="4419"/>
          </w:tcPr>
          <w:p>
            <w:r>
              <w:rPr>
                <w:rFonts w:ascii="宋体" w:hAnsi="宋体"/>
                <w:b w:val="0"/>
                <w:sz w:val="21"/>
              </w:rPr>
              <w:t>479（18.4%）</w:t>
            </w:r>
          </w:p>
        </w:tc>
      </w:tr>
      <w:tr>
        <w:tc>
          <w:tcPr>
            <w:tcW w:type="dxa" w:w="4419"/>
          </w:tcPr>
          <w:p>
            <w:r>
              <w:rPr>
                <w:rFonts w:ascii="宋体" w:hAnsi="宋体"/>
                <w:b w:val="0"/>
                <w:sz w:val="21"/>
              </w:rPr>
              <w:t>并列记录</w:t>
            </w:r>
          </w:p>
        </w:tc>
        <w:tc>
          <w:tcPr>
            <w:tcW w:type="dxa" w:w="4419"/>
          </w:tcPr>
          <w:p>
            <w:r>
              <w:rPr>
                <w:rFonts w:ascii="宋体" w:hAnsi="宋体"/>
                <w:b w:val="0"/>
                <w:sz w:val="21"/>
              </w:rPr>
              <w:t>446（29 省）</w:t>
            </w:r>
          </w:p>
        </w:tc>
      </w:tr>
    </w:tbl>
    <w:p>
      <w:r>
        <w:t>未确认性别（1022 条）的非随机性是本文最关键的局限：其构成包括 2000 年前记录（媒体无代词报道）、2000 年后中性名（无报道代词）、禁炒期匿名记录。这意味性别相关的统计量必须报告对未确认样本处理的敏感性（见 4.1 的上下界分析）。</w:t>
      </w:r>
    </w:p>
    <w:p>
      <w:pPr>
        <w:pStyle w:val="Heading2"/>
      </w:pPr>
      <w:r>
        <w:rPr>
          <w:rFonts w:ascii="黑体" w:hAnsi="黑体"/>
          <w:b w:val="0"/>
          <w:sz w:val="28"/>
        </w:rPr>
        <w:t>四、描述性事实</w:t>
      </w:r>
    </w:p>
    <w:p>
      <w:r>
        <w:t>说明：主分析期为 2004–2015（性别确认率稳定的时期）；2018 年后数据受禁炒影响，单独标注。所有登顶率同时报告"确认样本内"与"上下界"（下界=未确认视为非女，上界=未确认视为女）。</w:t>
      </w:r>
    </w:p>
    <w:p>
      <w:pPr>
        <w:pStyle w:val="Heading3"/>
      </w:pPr>
      <w:r>
        <w:rPr>
          <w:rFonts w:ascii="黑体" w:hAnsi="黑体"/>
          <w:b w:val="0"/>
          <w:sz w:val="26"/>
        </w:rPr>
        <w:t>4.1 文理分化：在任意口径下稳健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宋体" w:hAnsi="宋体"/>
                <w:b/>
                <w:sz w:val="21"/>
              </w:rPr>
              <w:t>口径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/>
                <w:sz w:val="21"/>
              </w:rPr>
              <w:t>文科女生登顶率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/>
                <w:sz w:val="21"/>
              </w:rPr>
              <w:t>理科女生登顶率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确认样本内（2004–2015）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76.6%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39.3%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下界（NA=非女）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50.6%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25.3%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上界（NA=女）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83.7%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56.3%</w:t>
            </w:r>
          </w:p>
        </w:tc>
      </w:tr>
    </w:tbl>
    <w:p>
      <w:r>
        <w:t>确认率时期稳定性：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宋体" w:hAnsi="宋体"/>
                <w:b/>
                <w:sz w:val="21"/>
              </w:rPr>
              <w:t>时期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/>
                <w:sz w:val="21"/>
              </w:rPr>
              <w:t>确认率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/>
                <w:sz w:val="21"/>
              </w:rPr>
              <w:t>样本量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1956–1999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38.2%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602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2000–2005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70.7%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355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2006–2017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67.2%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978</w:t>
            </w:r>
          </w:p>
        </w:tc>
      </w:tr>
      <w:tr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2018–2024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68.9%</w:t>
            </w:r>
          </w:p>
        </w:tc>
        <w:tc>
          <w:tcPr>
            <w:tcW w:type="dxa" w:w="2946"/>
          </w:tcPr>
          <w:p>
            <w:r>
              <w:rPr>
                <w:rFonts w:ascii="宋体" w:hAnsi="宋体"/>
                <w:b w:val="0"/>
                <w:sz w:val="21"/>
              </w:rPr>
              <w:t>354</w:t>
            </w:r>
          </w:p>
        </w:tc>
      </w:tr>
    </w:tbl>
    <w:p>
      <w:r>
        <w:t>关键发现：2018年后的性别确认率（68.9%）与禁炒前时期（67.2%）几乎相同。禁炒令主要消除的是姓名可得性（匿名化），而非性别确认能力（能报道的状元仍然携带代词信息）。这降低了确认偏差威胁核心登顶率发现的概率。</w:t>
      </w:r>
    </w:p>
    <w:p>
      <w:r>
        <w:t>事实 1：文科状元女性占比约为理科的两倍，该分化在上下界口径下均成立：每一口径下文科均高于理科（确认内 76.6% vs 39.3%；下界 50.6% vs 25.3%；上界 83.7% vs 56.3%），尽管两区间在 50.6%–56.3% 处存在部分重叠。分时期轨迹（确认样本内）：文科 2004–2009 年 77.5% → 2010–2015 年 82.5% → 2016–2024 年 71.2%；理科 44.1% → 37.0% → 37.5%。图 1 展示三年滚动轨迹。</w:t>
      </w:r>
    </w:p>
    <w:p>
      <w:pPr>
        <w:pStyle w:val="Heading3"/>
      </w:pPr>
      <w:r>
        <w:rPr>
          <w:rFonts w:ascii="黑体" w:hAnsi="黑体"/>
          <w:b w:val="0"/>
          <w:sz w:val="26"/>
        </w:rPr>
        <w:t>4.2 省际差异：理科尤为悬殊</w:t>
      </w:r>
    </w:p>
    <w:p>
      <w:r>
        <w:t>事实 2：理科女生登顶率省际相差逾 10 倍（确认样本≥8 的省份）。江西 4.3% 最低，江苏、山西、福建约 56% 最高；文科从江西 36.4% 到吉林 90.9%。江西在文理两轨均为最低。图 2 展示全分布（而非仅极值）。</w:t>
      </w:r>
    </w:p>
    <w:p>
      <w:pPr>
        <w:pStyle w:val="Heading3"/>
      </w:pPr>
      <w:r>
        <w:rPr>
          <w:rFonts w:ascii="黑体" w:hAnsi="黑体"/>
          <w:b w:val="0"/>
          <w:sz w:val="26"/>
        </w:rPr>
        <w:t>4.3 录取去向与流动</w:t>
      </w:r>
    </w:p>
    <w:p>
      <w:r>
        <w:t>事实 3：状元录取高度集中于清华北大。明确去向记录中，北大 850 人、清华 744 人，合计 1594 人，占全部记录 61.4%；其次为香港大学（35）、复旦大学（30）、中国科学技术大学（20）。港校在 2005–2011 年一度密集，后回落。</w:t>
      </w:r>
    </w:p>
    <w:p>
      <w:r>
        <w:t>事实 4：复读、移民与保送构成特殊子样本。复读状元 51 条（2.6%）；高考移民/跨省借读 21 条（集中于青海，外省籍贯状元 18 条）；保送生考出最高分但不计排名的"编外状元"7 条（集中于安徽 2008–2011）。</w:t>
      </w:r>
    </w:p>
    <w:p>
      <w:pPr>
        <w:pStyle w:val="Heading3"/>
      </w:pPr>
      <w:r>
        <w:rPr>
          <w:rFonts w:ascii="黑体" w:hAnsi="黑体"/>
          <w:b w:val="0"/>
          <w:sz w:val="26"/>
        </w:rPr>
        <w:t>4.4 并列：标准分制的封顶效应</w:t>
      </w:r>
    </w:p>
    <w:p>
      <w:r>
        <w:t>事实 5：并列记录集中于标准分制省份，跨性别同分并列不存在。446 条并列集中于河南（41）、安徽（30）、江西（29）、山东（29）、吉林（23）；标准分 900 分制制造大量满分并列（山东 1998 年理科 7 人并列、海南 2022–2025 连续四年多人满分）。在性别已确认的样本内，全部并列组合为同性别。“男女最高分精确相等”（d=0）在现实中极稀缺，这对断点设计有直接含义：省级断点回归必须依赖"分差趋近于零"而非精确并列。</w:t>
      </w:r>
    </w:p>
    <w:p>
      <w:pPr>
        <w:pStyle w:val="Heading3"/>
      </w:pPr>
      <w:r>
        <w:rPr>
          <w:rFonts w:ascii="黑体" w:hAnsi="黑体"/>
          <w:b w:val="0"/>
          <w:sz w:val="26"/>
        </w:rPr>
        <w:t>4.5 禁炒令与匿名化时间线</w:t>
      </w:r>
    </w:p>
    <w:p>
      <w:r>
        <w:t>事实 6：状元信息匿名化按省推进，与禁炒执行力度同步。青海 2018 → 北京 2021 → 内蒙古 2023 → 重庆/新疆 2024 → 天津/辽宁/陕西/宁夏 2026。</w:t>
      </w:r>
    </w:p>
    <w:p>
      <w:r>
        <w:t>事实 7（附条件）：2018 年后女生登顶率变化方向在区间口径下不一致，不能作任何因果解读。稳定期（2004–2015）与禁炒期（2018–2024）对比：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rFonts w:ascii="宋体" w:hAnsi="宋体"/>
                <w:b/>
                <w:sz w:val="21"/>
              </w:rPr>
              <w:t>轨道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/>
                <w:sz w:val="21"/>
              </w:rPr>
              <w:t>稳定期（上下界）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/>
                <w:sz w:val="21"/>
              </w:rPr>
              <w:t>禁炒期（上下界）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/>
                <w:sz w:val="21"/>
              </w:rPr>
              <w:t>变化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文科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50.6%–83.7%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50.3%–76.9%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下界持平，上界 −6.8pp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理科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25.3%–56.3%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19.6%–54.3%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下界 −5.7pp，上界 −2.0pp</w:t>
            </w:r>
          </w:p>
        </w:tc>
      </w:tr>
    </w:tbl>
    <w:p>
      <w:r>
        <w:t>禁炒后确认样本内女生比例下降（文科上界驱动、理科下界驱动），但该变化与数据可得性下降完全混淆（能确认性别的样本偏向有报道者），故本文仅报告区间，不主张任何机制解释。</w:t>
      </w:r>
    </w:p>
    <w:p>
      <w:pPr>
        <w:pStyle w:val="Heading2"/>
      </w:pPr>
      <w:r>
        <w:rPr>
          <w:rFonts w:ascii="黑体" w:hAnsi="黑体"/>
          <w:b w:val="0"/>
          <w:sz w:val="28"/>
        </w:rPr>
        <w:t>五、探索性分析：省级状元性别的持续性（Persistence）</w:t>
      </w:r>
    </w:p>
    <w:p>
      <w:pPr>
        <w:pStyle w:val="Heading3"/>
      </w:pPr>
      <w:r>
        <w:rPr>
          <w:rFonts w:ascii="黑体" w:hAnsi="黑体"/>
          <w:b w:val="0"/>
          <w:sz w:val="26"/>
        </w:rPr>
        <w:t>5.1 方法</w:t>
      </w:r>
    </w:p>
    <w:p>
      <w:r>
        <w:t>构造省-年-科面板（2004–2015 稳定期，性别确认样本）：因变量 F_{s,t,k}=1（状元为女），自变量 F_{s,t-1,k}（滞后一期），省固定效应 + 年固定效应（within 估计）。并列时以女性份额为处理。</w:t>
      </w:r>
    </w:p>
    <w:p>
      <w:pPr>
        <w:pStyle w:val="Heading3"/>
      </w:pPr>
      <w:r>
        <w:rPr>
          <w:rFonts w:ascii="黑体" w:hAnsi="黑体"/>
          <w:b w:val="0"/>
          <w:sz w:val="26"/>
        </w:rPr>
        <w:t>5.2 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</w:tcPr>
          <w:p>
            <w:r>
              <w:rPr>
                <w:rFonts w:ascii="宋体" w:hAnsi="宋体"/>
                <w:b/>
                <w:sz w:val="21"/>
              </w:rPr>
              <w:t>样本</w:t>
            </w:r>
          </w:p>
        </w:tc>
        <w:tc>
          <w:tcPr>
            <w:tcW w:type="dxa" w:w="1473"/>
          </w:tcPr>
          <w:p>
            <w:r>
              <w:rPr>
                <w:rFonts w:ascii="宋体" w:hAnsi="宋体"/>
                <w:b/>
                <w:sz w:val="21"/>
              </w:rPr>
              <w:t>β</w:t>
            </w:r>
          </w:p>
        </w:tc>
        <w:tc>
          <w:tcPr>
            <w:tcW w:type="dxa" w:w="1473"/>
          </w:tcPr>
          <w:p>
            <w:r>
              <w:rPr>
                <w:rFonts w:ascii="宋体" w:hAnsi="宋体"/>
                <w:b/>
                <w:sz w:val="21"/>
              </w:rPr>
              <w:t>标准误</w:t>
            </w:r>
          </w:p>
        </w:tc>
        <w:tc>
          <w:tcPr>
            <w:tcW w:type="dxa" w:w="1473"/>
          </w:tcPr>
          <w:p>
            <w:r>
              <w:rPr>
                <w:rFonts w:ascii="宋体" w:hAnsi="宋体"/>
                <w:b/>
                <w:sz w:val="21"/>
              </w:rPr>
              <w:t>t</w:t>
            </w:r>
          </w:p>
        </w:tc>
        <w:tc>
          <w:tcPr>
            <w:tcW w:type="dxa" w:w="1473"/>
          </w:tcPr>
          <w:p>
            <w:r>
              <w:rPr>
                <w:rFonts w:ascii="宋体" w:hAnsi="宋体"/>
                <w:b/>
                <w:sz w:val="21"/>
              </w:rPr>
              <w:t>N</w:t>
            </w:r>
          </w:p>
        </w:tc>
        <w:tc>
          <w:tcPr>
            <w:tcW w:type="dxa" w:w="1473"/>
          </w:tcPr>
          <w:p>
            <w:r>
              <w:rPr>
                <w:rFonts w:ascii="宋体" w:hAnsi="宋体"/>
                <w:b/>
                <w:sz w:val="21"/>
              </w:rPr>
              <w:t>最小可检测 β</w:t>
            </w:r>
          </w:p>
        </w:tc>
      </w:tr>
      <w:tr>
        <w:tc>
          <w:tcPr>
            <w:tcW w:type="dxa" w:w="1473"/>
          </w:tcPr>
          <w:p>
            <w:r>
              <w:rPr>
                <w:rFonts w:ascii="宋体" w:hAnsi="宋体"/>
                <w:b w:val="0"/>
                <w:sz w:val="21"/>
              </w:rPr>
              <w:t>理科</w:t>
            </w:r>
          </w:p>
        </w:tc>
        <w:tc>
          <w:tcPr>
            <w:tcW w:type="dxa" w:w="1473"/>
          </w:tcPr>
          <w:p>
            <w:r>
              <w:rPr>
                <w:rFonts w:ascii="宋体" w:hAnsi="宋体"/>
                <w:b w:val="0"/>
                <w:sz w:val="21"/>
              </w:rPr>
              <w:t>-0.052</w:t>
            </w:r>
          </w:p>
        </w:tc>
        <w:tc>
          <w:tcPr>
            <w:tcW w:type="dxa" w:w="1473"/>
          </w:tcPr>
          <w:p>
            <w:r>
              <w:rPr>
                <w:rFonts w:ascii="宋体" w:hAnsi="宋体"/>
                <w:b w:val="0"/>
                <w:sz w:val="21"/>
              </w:rPr>
              <w:t>0.051</w:t>
            </w:r>
          </w:p>
        </w:tc>
        <w:tc>
          <w:tcPr>
            <w:tcW w:type="dxa" w:w="1473"/>
          </w:tcPr>
          <w:p>
            <w:r>
              <w:rPr>
                <w:rFonts w:ascii="宋体" w:hAnsi="宋体"/>
                <w:b w:val="0"/>
                <w:sz w:val="21"/>
              </w:rPr>
              <w:t>-1.01</w:t>
            </w:r>
          </w:p>
        </w:tc>
        <w:tc>
          <w:tcPr>
            <w:tcW w:type="dxa" w:w="1473"/>
          </w:tcPr>
          <w:p>
            <w:r>
              <w:rPr>
                <w:rFonts w:ascii="宋体" w:hAnsi="宋体"/>
                <w:b w:val="0"/>
                <w:sz w:val="21"/>
              </w:rPr>
              <w:t>387</w:t>
            </w:r>
          </w:p>
        </w:tc>
        <w:tc>
          <w:tcPr>
            <w:tcW w:type="dxa" w:w="1473"/>
          </w:tcPr>
          <w:p>
            <w:r>
              <w:rPr>
                <w:rFonts w:ascii="宋体" w:hAnsi="宋体"/>
                <w:b w:val="0"/>
                <w:sz w:val="21"/>
              </w:rPr>
              <w:t>0.070</w:t>
            </w:r>
          </w:p>
        </w:tc>
      </w:tr>
      <w:tr>
        <w:tc>
          <w:tcPr>
            <w:tcW w:type="dxa" w:w="1473"/>
          </w:tcPr>
          <w:p>
            <w:r>
              <w:rPr>
                <w:rFonts w:ascii="宋体" w:hAnsi="宋体"/>
                <w:b w:val="0"/>
                <w:sz w:val="21"/>
              </w:rPr>
              <w:t>文科</w:t>
            </w:r>
          </w:p>
        </w:tc>
        <w:tc>
          <w:tcPr>
            <w:tcW w:type="dxa" w:w="1473"/>
          </w:tcPr>
          <w:p>
            <w:r>
              <w:rPr>
                <w:rFonts w:ascii="宋体" w:hAnsi="宋体"/>
                <w:b w:val="0"/>
                <w:sz w:val="21"/>
              </w:rPr>
              <w:t>-0.138</w:t>
            </w:r>
          </w:p>
        </w:tc>
        <w:tc>
          <w:tcPr>
            <w:tcW w:type="dxa" w:w="1473"/>
          </w:tcPr>
          <w:p>
            <w:r>
              <w:rPr>
                <w:rFonts w:ascii="宋体" w:hAnsi="宋体"/>
                <w:b w:val="0"/>
                <w:sz w:val="21"/>
              </w:rPr>
              <w:t>0.052</w:t>
            </w:r>
          </w:p>
        </w:tc>
        <w:tc>
          <w:tcPr>
            <w:tcW w:type="dxa" w:w="1473"/>
          </w:tcPr>
          <w:p>
            <w:r>
              <w:rPr>
                <w:rFonts w:ascii="宋体" w:hAnsi="宋体"/>
                <w:b w:val="0"/>
                <w:sz w:val="21"/>
              </w:rPr>
              <w:t>-2.67</w:t>
            </w:r>
          </w:p>
        </w:tc>
        <w:tc>
          <w:tcPr>
            <w:tcW w:type="dxa" w:w="1473"/>
          </w:tcPr>
          <w:p>
            <w:r>
              <w:rPr>
                <w:rFonts w:ascii="宋体" w:hAnsi="宋体"/>
                <w:b w:val="0"/>
                <w:sz w:val="21"/>
              </w:rPr>
              <w:t>381</w:t>
            </w:r>
          </w:p>
        </w:tc>
        <w:tc>
          <w:tcPr>
            <w:tcW w:type="dxa" w:w="1473"/>
          </w:tcPr>
          <w:p>
            <w:r>
              <w:rPr>
                <w:rFonts w:ascii="宋体" w:hAnsi="宋体"/>
                <w:b w:val="0"/>
                <w:sz w:val="21"/>
              </w:rPr>
              <w:t>0.061</w:t>
            </w:r>
          </w:p>
        </w:tc>
      </w:tr>
    </w:tbl>
    <w:p>
      <w:r>
        <w:t>结论：理科无持续性关系（且效应低于可检测阈值）；文科呈负相关，与高基线（77%）下的均值回归一致。 跨科检验（理科女状元→次年文科状元）同样不显著（β=-0.008，N=299）。综合而言，省级层面不存在"女状元预示下一女状元"的显著证据。</w:t>
      </w:r>
    </w:p>
    <w:p>
      <w:pPr>
        <w:pStyle w:val="Heading3"/>
      </w:pPr>
      <w:r>
        <w:rPr>
          <w:rFonts w:ascii="黑体" w:hAnsi="黑体"/>
          <w:b w:val="0"/>
          <w:sz w:val="26"/>
        </w:rPr>
        <w:t>5.3 解读</w:t>
      </w:r>
    </w:p>
    <w:p>
      <w:r>
        <w:t>这一 null result 的可能解释：（1）榜样效应作用于成绩分布的中上段而非顶端：同班女生的成绩提升（Qin et al. 2026 的 0.4σ）不必然改变次年最高分者的性别；（2）省级媒体叙事将状元个体化（强调个人特质）而非性别身份化；（3）文科基线已处高位（77%），边际空间有限。本检验的功效足以检测 0.06–0.07 以上的效应，故"未发现"并非纯粹的功效不足。</w:t>
      </w:r>
    </w:p>
    <w:p>
      <w:pPr>
        <w:pStyle w:val="Heading2"/>
      </w:pPr>
      <w:r>
        <w:rPr>
          <w:rFonts w:ascii="黑体" w:hAnsi="黑体"/>
          <w:b w:val="0"/>
          <w:sz w:val="28"/>
        </w:rPr>
        <w:t>六、讨论与局限</w:t>
      </w:r>
    </w:p>
    <w:p>
      <w:pPr>
        <w:pStyle w:val="Heading3"/>
      </w:pPr>
      <w:r>
        <w:rPr>
          <w:rFonts w:ascii="黑体" w:hAnsi="黑体"/>
          <w:b w:val="0"/>
          <w:sz w:val="26"/>
        </w:rPr>
        <w:t>6.1 与班级层面证据的关系</w:t>
      </w:r>
    </w:p>
    <w:p>
      <w:r>
        <w:t>Qin et al. (2026) 证明班级第一名性别影响同班女生成绩。本文的省级描述显示：文科"女生登顶"已是常态，理科登顶仍具稀缺性。若榜样机制存在，理科女状元的边际信号价值可能更高（稀缺性大、刻板印象强）。省际差异（江西 vs 江苏）提示此类效应存在巨大的地区异质空间。这些是研究议程，而非本文的结论。</w:t>
      </w:r>
    </w:p>
    <w:p>
      <w:pPr>
        <w:pStyle w:val="Heading3"/>
      </w:pPr>
      <w:r>
        <w:rPr>
          <w:rFonts w:ascii="黑体" w:hAnsi="黑体"/>
          <w:b w:val="0"/>
          <w:sz w:val="26"/>
        </w:rPr>
        <w:t>6.2 局限</w:t>
      </w:r>
    </w:p>
    <w:p>
      <w:r>
        <w:t>（1）性别确认率 60.7%，未确认样本非随机，登顶率结论依赖上下界口径；（2）2018 年后数据系统性受限，禁炒前后比较不能作因果解读；（3）2000 年前部分省份年份缺失；（4）无省级结果变量（女生报考、录取性别比），无法估计"女状元→女生表现"的因果效应；（5）严格断点回归需"男女各自最高分"（前两名数据），当前库仅有状元分数；（6）新疆双轨制（28 对）作为辅助识别样本受加分政策差异限制（见附录 A）。</w:t>
      </w:r>
    </w:p>
    <w:p>
      <w:pPr>
        <w:pStyle w:val="Heading3"/>
      </w:pPr>
      <w:r>
        <w:rPr>
          <w:rFonts w:ascii="黑体" w:hAnsi="黑体"/>
          <w:b w:val="0"/>
          <w:sz w:val="26"/>
        </w:rPr>
        <w:t>6.3 后续研究议程</w:t>
      </w:r>
    </w:p>
    <w:p>
      <w:r>
        <w:t>（1）前两名数据库补采 → 省级断点回归；（2）母校学妹效应（状元母校喜报数据，保留"身边榜样"机制的最近移植）；（3）可见度测量（媒体报道篇数）与禁炒令的准实验分析；（4）省际登顶率与性别平等指标的相关性研究。</w:t>
      </w:r>
    </w:p>
    <w:p>
      <w:pPr>
        <w:pStyle w:val="Heading2"/>
      </w:pPr>
      <w:r>
        <w:rPr>
          <w:rFonts w:ascii="黑体" w:hAnsi="黑体"/>
          <w:b w:val="0"/>
          <w:sz w:val="28"/>
        </w:rPr>
        <w:t>七、结论</w:t>
      </w:r>
    </w:p>
    <w:p>
      <w:r>
        <w:t>本文展示了高考状元“顶端位置”的三重制度性性别结构：（1）文理双重分化（约2:1的女生登顶率差，上下界下稳健）；（2）省际逾十倍的悬殊；（3）制度设计（标准分制造并列、禁炒令消除可见性）对“谁能成为第一”的塑造力。这些事实不构成因果理论，但为理论提供了不可回避的基线。后续研究可在母校层面（H3）和前两名数据（断点回归）上识别其中的机制：文理登顶率约 2:1 的分化（在确认偏差上下界下稳健）、省际逾 10 倍的悬殊、清北高度集中、标准分制下的并列现象、以及禁炒令驱动的匿名化时间线。省级面板未发现状元性别的"顶端传染"。</w:t>
      </w:r>
    </w:p>
    <w:p>
      <w:pPr>
        <w:pStyle w:val="Heading2"/>
      </w:pPr>
      <w:r>
        <w:rPr>
          <w:rFonts w:ascii="黑体" w:hAnsi="黑体"/>
          <w:b w:val="0"/>
          <w:sz w:val="28"/>
        </w:rPr>
        <w:t>参考文献</w:t>
      </w:r>
    </w:p>
    <w:p>
      <w:pPr>
        <w:pStyle w:val="ListBullet"/>
      </w:pPr>
      <w:r>
        <w:t>Qin, X., Wang, Y., &amp; Zhang, H. (2026). Number one girl: Female top scorers and peer academic performance in junior high schools. *Journal of Development Economics*, 103801.</w:t>
      </w:r>
    </w:p>
    <w:p>
      <w:pPr>
        <w:pStyle w:val="ListBullet"/>
      </w:pPr>
      <w:r>
        <w:t>Beaman, L., Duflo, E., Pande, R., &amp; Topalova, P. (2012). Female leadership raises aspirations and educational attainment for girls. *Science*, 335(6068), 582–586.</w:t>
      </w:r>
    </w:p>
    <w:p>
      <w:pPr>
        <w:pStyle w:val="ListBullet"/>
      </w:pPr>
      <w:r>
        <w:t>Breda, T., Grenet, J., Monnet, M., &amp; Van Effenterre, C. (2023). Do female role models reduce the gender gap in science? *American Economic Journal: Applied Economics*, 15(4), 75–102.</w:t>
      </w:r>
    </w:p>
    <w:p>
      <w:pPr>
        <w:pStyle w:val="ListBullet"/>
      </w:pPr>
      <w:r>
        <w:t>Bursztyn, L., &amp; Jensen, R. (2015). How does peer pressure affect educational investments? *Quarterly Journal of Economics*, 130(3), 1329–1367.</w:t>
      </w:r>
    </w:p>
    <w:p>
      <w:pPr>
        <w:pStyle w:val="ListBullet"/>
      </w:pPr>
      <w:r>
        <w:t>Carrell, S. E., Page, M. E., &amp; West, J. E. (2010). Sex and science: How professor gender perpetuates the gender gap. *Quarterly Journal of Economics*, 125(3), 1101–1144.</w:t>
      </w:r>
    </w:p>
    <w:p>
      <w:pPr>
        <w:pStyle w:val="ListBullet"/>
      </w:pPr>
      <w:r>
        <w:t>Jia, R., &amp; Li, H. (2021). Just above the exam cutoff score: Elite college admission and wages in China. *Journal of Public Economics*, 196, 104371.</w:t>
      </w:r>
    </w:p>
    <w:p>
      <w:pPr>
        <w:pStyle w:val="ListBullet"/>
      </w:pPr>
      <w:r>
        <w:t>Sacerdote, B. (2011). Peer effects in education: How might they work, how big are they and how much do we know thus far? In *Handbook of the Economics of Education* (Vol. 3, pp. 249–277). Elsevier.</w:t>
      </w:r>
    </w:p>
    <w:p>
      <w:pPr>
        <w:pStyle w:val="ListBullet"/>
      </w:pPr>
      <w:r>
        <w:t>Buchmann, C., &amp; DiPrete, T. A. (2006). The growing female advantage in college completion. *American Sociological Review*, 71(4), 515–541.</w:t>
      </w:r>
    </w:p>
    <w:p>
      <w:pPr>
        <w:pStyle w:val="ListBullet"/>
      </w:pPr>
      <w:r>
        <w:t>Van Bavel, J., Schwartz, C. R., &amp; Esteve, A. (2018). The reversal of the gender gap in education and its consequences for family life. *Annual Review of Sociology*, 44, 341–360.</w:t>
      </w:r>
    </w:p>
    <w:p>
      <w:pPr>
        <w:pStyle w:val="ListBullet"/>
      </w:pPr>
      <w:r>
        <w:t>Hannum, E., Kong, P., &amp; Zhang, Y. (2009). Family sources of educational gender inequality in rural China. *International Journal of Educational Development*, 29(5), 474–486.</w:t>
      </w:r>
    </w:p>
    <w:p>
      <w:pPr>
        <w:pStyle w:val="ListBullet"/>
      </w:pPr>
      <w:r>
        <w:t>Gentzkow, M., &amp; Shapiro, J. M. (2006). Media bias and reputation. *Journal of Political Economy*, 114(2), 280–316.</w:t>
      </w:r>
    </w:p>
    <w:p>
      <w:pPr>
        <w:pStyle w:val="Heading2"/>
      </w:pPr>
      <w:r>
        <w:rPr>
          <w:rFonts w:ascii="黑体" w:hAnsi="黑体"/>
          <w:b w:val="0"/>
          <w:sz w:val="28"/>
        </w:rPr>
        <w:t>附录 A：新疆双轨制辅助样本</w:t>
      </w:r>
    </w:p>
    <w:p>
      <w:r>
        <w:t>新疆实行普通类与单列类（少数民族考生）双轨排名，两轨状元同年同科并存：28 对中 12 对分差不超过 15 分，2011 年理科出现性别相反、分差 5 分的近似断点观测。但两轨加分政策差异（单列类加分 10–60 分）构成识别障碍，该样本仅作稳健性参考，不作为主证据。</w:t>
      </w:r>
    </w:p>
    <w:p>
      <w:pPr>
        <w:pStyle w:val="Heading2"/>
      </w:pPr>
      <w:r>
        <w:rPr>
          <w:rFonts w:ascii="黑体" w:hAnsi="黑体"/>
          <w:b w:val="0"/>
          <w:sz w:val="28"/>
        </w:rPr>
        <w:t>附录 B：母校学妹效应：数据初探</w:t>
      </w:r>
    </w:p>
    <w:p>
      <w:r>
        <w:t>为继承 Qin et al. (2026) 的"身边榜样"机制，已构建状元母校清北录取面板（21 校年、7 校配对）。衡水中学与成都七中提供最完整序列（13 校年、6–7 年纵向）：</w:t>
      </w:r>
    </w:p>
    <w:p>
      <w:r>
        <w:t>衡水中学（7 年）：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rFonts w:ascii="宋体" w:hAnsi="宋体"/>
                <w:b/>
                <w:sz w:val="21"/>
              </w:rPr>
              <w:t>年份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/>
                <w:sz w:val="21"/>
              </w:rPr>
              <w:t>女状元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/>
                <w:sz w:val="21"/>
              </w:rPr>
              <w:t>清北录取（t）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/>
                <w:sz w:val="21"/>
              </w:rPr>
              <w:t>次年清北（t+1）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2019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否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275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67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2020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否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67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139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2021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是（高天鸿/赵雅萱）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139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145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2022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否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145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107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2023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是（康卓妍）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107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145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2024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否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145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45</w:t>
            </w:r>
          </w:p>
        </w:tc>
      </w:tr>
    </w:tbl>
    <w:p>
      <w:r>
        <w:t>成都七中（6 年）：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rFonts w:ascii="宋体" w:hAnsi="宋体"/>
                <w:b/>
                <w:sz w:val="21"/>
              </w:rPr>
              <w:t>年份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/>
                <w:sz w:val="21"/>
              </w:rPr>
              <w:t>女状元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/>
                <w:sz w:val="21"/>
              </w:rPr>
              <w:t>清北录取（t）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/>
                <w:sz w:val="21"/>
              </w:rPr>
              <w:t>次年清北（t+1）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2019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是（宋靖）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70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69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2020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否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69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76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2021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是（王涵）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76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70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2022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是（刘川/刁歆夷）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70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79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2023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是（张蓝月）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79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81</w:t>
            </w:r>
          </w:p>
        </w:tc>
      </w:tr>
      <w:tr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2024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是（戴思宇/罗岩熙）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81</w:t>
            </w:r>
          </w:p>
        </w:tc>
        <w:tc>
          <w:tcPr>
            <w:tcW w:type="dxa" w:w="2209"/>
          </w:tcPr>
          <w:p>
            <w:r>
              <w:rPr>
                <w:rFonts w:ascii="宋体" w:hAnsi="宋体"/>
                <w:b w:val="0"/>
                <w:sz w:val="21"/>
              </w:rPr>
              <w:t>63</w:t>
            </w:r>
          </w:p>
        </w:tc>
      </w:tr>
    </w:tbl>
    <w:p>
      <w:r>
        <w:t>第一版母校效应回归（学校 FE + 年 FE，21 校年 / 7 校）：女状元→次年清北人数 β=不显著。当前样本量仍不足以区分效应与噪音，采集与配对持续推进中。</w:t>
      </w:r>
    </w:p>
    <w:p>
      <w:pPr>
        <w:pStyle w:val="Heading2"/>
      </w:pPr>
      <w:r>
        <w:rPr>
          <w:rFonts w:ascii="黑体" w:hAnsi="黑体"/>
          <w:b w:val="0"/>
          <w:sz w:val="28"/>
        </w:rPr>
        <w:t>附录 C：数据与代码</w:t>
      </w:r>
    </w:p>
    <w:p>
      <w:r>
        <w:t>数据库（gaokao_top_scorer_2026.csv）、制度面板（制度面板_省年.csv）、性别初筛结果与全部分析脚本随文提供。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