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149" w:rsidRPr="00655149" w:rsidRDefault="00A37FF3" w:rsidP="008E19DA">
      <w:pPr>
        <w:jc w:val="center"/>
        <w:rPr>
          <w:rFonts w:ascii="Times New Roman" w:hAnsi="Times New Roman" w:cs="Times New Roman"/>
          <w:smallCaps/>
          <w:sz w:val="36"/>
          <w:szCs w:val="36"/>
        </w:rPr>
      </w:pPr>
      <w:r w:rsidRPr="00655149">
        <w:rPr>
          <w:rFonts w:ascii="Times New Roman" w:hAnsi="Times New Roman" w:cs="Times New Roman"/>
          <w:smallCaps/>
          <w:sz w:val="36"/>
          <w:szCs w:val="36"/>
        </w:rPr>
        <w:t>The Public Use Requirement and the Character of Consequential</w:t>
      </w:r>
      <w:r w:rsidR="00F72449" w:rsidRPr="00655149">
        <w:rPr>
          <w:rFonts w:ascii="Times New Roman" w:hAnsi="Times New Roman" w:cs="Times New Roman"/>
          <w:smallCaps/>
          <w:sz w:val="36"/>
          <w:szCs w:val="36"/>
        </w:rPr>
        <w:t>ist</w:t>
      </w:r>
      <w:r w:rsidRPr="00655149">
        <w:rPr>
          <w:rFonts w:ascii="Times New Roman" w:hAnsi="Times New Roman" w:cs="Times New Roman"/>
          <w:smallCaps/>
          <w:sz w:val="36"/>
          <w:szCs w:val="36"/>
        </w:rPr>
        <w:t xml:space="preserve"> Reasoning</w:t>
      </w:r>
    </w:p>
    <w:p w:rsidR="00A02705" w:rsidRDefault="00655149" w:rsidP="008E19DA">
      <w:pPr>
        <w:jc w:val="center"/>
        <w:rPr>
          <w:rFonts w:ascii="Times New Roman" w:hAnsi="Times New Roman" w:cs="Times New Roman"/>
          <w:sz w:val="36"/>
          <w:szCs w:val="36"/>
        </w:rPr>
      </w:pPr>
      <w:r w:rsidRPr="00655149">
        <w:rPr>
          <w:rFonts w:ascii="Times New Roman" w:hAnsi="Times New Roman" w:cs="Times New Roman"/>
          <w:sz w:val="28"/>
          <w:szCs w:val="28"/>
        </w:rPr>
        <w:t>Gregory S. Alexander</w:t>
      </w:r>
      <w:r w:rsidRPr="00655149">
        <w:rPr>
          <w:rStyle w:val="FootnoteReference"/>
          <w:rFonts w:ascii="Times New Roman" w:hAnsi="Times New Roman" w:cs="Times New Roman"/>
          <w:sz w:val="36"/>
          <w:szCs w:val="36"/>
        </w:rPr>
        <w:footnoteReference w:customMarkFollows="1" w:id="1"/>
        <w:sym w:font="Symbol" w:char="F02A"/>
      </w:r>
      <w:r w:rsidR="00A37FF3">
        <w:rPr>
          <w:rFonts w:ascii="Times New Roman" w:hAnsi="Times New Roman" w:cs="Times New Roman"/>
          <w:sz w:val="36"/>
          <w:szCs w:val="36"/>
        </w:rPr>
        <w:t xml:space="preserve"> </w:t>
      </w:r>
    </w:p>
    <w:p w:rsidR="008E19DA" w:rsidRPr="008E19DA" w:rsidRDefault="008E19DA" w:rsidP="008E19DA">
      <w:pPr>
        <w:pStyle w:val="NoSpacing"/>
        <w:rPr>
          <w:rFonts w:ascii="Times New Roman" w:hAnsi="Times New Roman" w:cs="Times New Roman"/>
          <w:sz w:val="24"/>
          <w:szCs w:val="24"/>
        </w:rPr>
      </w:pPr>
    </w:p>
    <w:p w:rsidR="00582325" w:rsidRDefault="007D5C0E" w:rsidP="00582325">
      <w:pPr>
        <w:pStyle w:val="NoSpacing"/>
        <w:rPr>
          <w:rFonts w:ascii="Times New Roman" w:hAnsi="Times New Roman" w:cs="Times New Roman"/>
          <w:sz w:val="24"/>
          <w:szCs w:val="24"/>
        </w:rPr>
      </w:pPr>
      <w:r>
        <w:rPr>
          <w:rFonts w:ascii="Times New Roman" w:hAnsi="Times New Roman" w:cs="Times New Roman"/>
          <w:sz w:val="24"/>
          <w:szCs w:val="24"/>
        </w:rPr>
        <w:tab/>
      </w:r>
      <w:r w:rsidR="00582325" w:rsidRPr="00582325">
        <w:rPr>
          <w:rFonts w:ascii="Times New Roman" w:hAnsi="Times New Roman" w:cs="Times New Roman"/>
          <w:sz w:val="24"/>
          <w:szCs w:val="24"/>
        </w:rPr>
        <w:t xml:space="preserve">How does expropriation fit into a human flourishing theory of property? If we take it </w:t>
      </w:r>
      <w:proofErr w:type="gramStart"/>
      <w:r w:rsidR="00582325" w:rsidRPr="00582325">
        <w:rPr>
          <w:rFonts w:ascii="Times New Roman" w:hAnsi="Times New Roman" w:cs="Times New Roman"/>
          <w:sz w:val="24"/>
          <w:szCs w:val="24"/>
        </w:rPr>
        <w:t xml:space="preserve">that </w:t>
      </w:r>
      <w:r>
        <w:rPr>
          <w:rFonts w:ascii="Times New Roman" w:hAnsi="Times New Roman" w:cs="Times New Roman"/>
          <w:sz w:val="24"/>
          <w:szCs w:val="24"/>
        </w:rPr>
        <w:tab/>
      </w:r>
      <w:r w:rsidR="00582325" w:rsidRPr="00582325">
        <w:rPr>
          <w:rFonts w:ascii="Times New Roman" w:hAnsi="Times New Roman" w:cs="Times New Roman"/>
          <w:sz w:val="24"/>
          <w:szCs w:val="24"/>
        </w:rPr>
        <w:t>property owners</w:t>
      </w:r>
      <w:proofErr w:type="gramEnd"/>
      <w:r w:rsidR="00582325" w:rsidRPr="00582325">
        <w:rPr>
          <w:rFonts w:ascii="Times New Roman" w:hAnsi="Times New Roman" w:cs="Times New Roman"/>
          <w:sz w:val="24"/>
          <w:szCs w:val="24"/>
        </w:rPr>
        <w:t xml:space="preserve"> owe members of their communities obligations to provide resources </w:t>
      </w:r>
      <w:r>
        <w:rPr>
          <w:rFonts w:ascii="Times New Roman" w:hAnsi="Times New Roman" w:cs="Times New Roman"/>
          <w:sz w:val="24"/>
          <w:szCs w:val="24"/>
        </w:rPr>
        <w:tab/>
      </w:r>
      <w:r w:rsidR="00582325" w:rsidRPr="00582325">
        <w:rPr>
          <w:rFonts w:ascii="Times New Roman" w:hAnsi="Times New Roman" w:cs="Times New Roman"/>
          <w:sz w:val="24"/>
          <w:szCs w:val="24"/>
        </w:rPr>
        <w:t xml:space="preserve">necessary to develop those capabilities that are essential to human flourishing, then what </w:t>
      </w:r>
      <w:r>
        <w:rPr>
          <w:rFonts w:ascii="Times New Roman" w:hAnsi="Times New Roman" w:cs="Times New Roman"/>
          <w:sz w:val="24"/>
          <w:szCs w:val="24"/>
        </w:rPr>
        <w:tab/>
      </w:r>
      <w:r w:rsidR="00582325" w:rsidRPr="00582325">
        <w:rPr>
          <w:rFonts w:ascii="Times New Roman" w:hAnsi="Times New Roman" w:cs="Times New Roman"/>
          <w:sz w:val="24"/>
          <w:szCs w:val="24"/>
        </w:rPr>
        <w:t>does</w:t>
      </w:r>
      <w:bookmarkStart w:id="0" w:name="_GoBack"/>
      <w:bookmarkEnd w:id="0"/>
      <w:r w:rsidR="00582325" w:rsidRPr="00582325">
        <w:rPr>
          <w:rFonts w:ascii="Times New Roman" w:hAnsi="Times New Roman" w:cs="Times New Roman"/>
          <w:sz w:val="24"/>
          <w:szCs w:val="24"/>
        </w:rPr>
        <w:t xml:space="preserve"> this require of them in terms of the state’s power to expropriate?</w:t>
      </w:r>
    </w:p>
    <w:p w:rsidR="00582325" w:rsidRDefault="00582325" w:rsidP="00582325">
      <w:pPr>
        <w:pStyle w:val="NoSpacing"/>
        <w:rPr>
          <w:rFonts w:ascii="Times New Roman" w:hAnsi="Times New Roman" w:cs="Times New Roman"/>
          <w:sz w:val="24"/>
          <w:szCs w:val="24"/>
        </w:rPr>
      </w:pPr>
    </w:p>
    <w:p w:rsidR="00582325" w:rsidRPr="00582325" w:rsidRDefault="00582325" w:rsidP="00582325">
      <w:pPr>
        <w:pStyle w:val="NoSpacing"/>
        <w:rPr>
          <w:rFonts w:ascii="Times New Roman" w:hAnsi="Times New Roman" w:cs="Times New Roman"/>
          <w:sz w:val="24"/>
          <w:szCs w:val="24"/>
        </w:rPr>
      </w:pPr>
    </w:p>
    <w:p w:rsidR="008E19DA" w:rsidRDefault="00923985" w:rsidP="00582325">
      <w:pPr>
        <w:pStyle w:val="NoSpacing"/>
        <w:rPr>
          <w:rFonts w:ascii="Times New Roman" w:hAnsi="Times New Roman" w:cs="Times New Roman"/>
          <w:sz w:val="24"/>
          <w:szCs w:val="24"/>
        </w:rPr>
      </w:pPr>
      <w:r>
        <w:rPr>
          <w:rFonts w:ascii="Times New Roman" w:hAnsi="Times New Roman" w:cs="Times New Roman"/>
          <w:sz w:val="24"/>
          <w:szCs w:val="24"/>
        </w:rPr>
        <w:tab/>
      </w:r>
      <w:r w:rsidR="000941D9">
        <w:rPr>
          <w:rFonts w:ascii="Times New Roman" w:hAnsi="Times New Roman" w:cs="Times New Roman"/>
          <w:sz w:val="24"/>
          <w:szCs w:val="24"/>
        </w:rPr>
        <w:t xml:space="preserve">Governmental power to expropriate land for the common good is ancient. </w:t>
      </w:r>
      <w:r>
        <w:rPr>
          <w:rFonts w:ascii="Times New Roman" w:hAnsi="Times New Roman" w:cs="Times New Roman"/>
          <w:sz w:val="24"/>
          <w:szCs w:val="24"/>
        </w:rPr>
        <w:t xml:space="preserve">It dates at least back to </w:t>
      </w:r>
      <w:r w:rsidR="00454768">
        <w:rPr>
          <w:rFonts w:ascii="Times New Roman" w:hAnsi="Times New Roman" w:cs="Times New Roman"/>
          <w:sz w:val="24"/>
          <w:szCs w:val="24"/>
        </w:rPr>
        <w:t>Roman law. Indeed, Susan Reynolds argues that “in any settled society in which individuals or groups have acknowledged rights in particular pieces of land there may be some occasions, like the digging of drainage or irrigation channels, or the building of roads or fortifications, on which such rights may come into conflict with the needs of the community as a whole, however it is defined and ruled.”</w:t>
      </w:r>
      <w:r w:rsidR="00454768">
        <w:rPr>
          <w:rStyle w:val="FootnoteReference"/>
          <w:rFonts w:ascii="Times New Roman" w:hAnsi="Times New Roman" w:cs="Times New Roman"/>
          <w:sz w:val="24"/>
          <w:szCs w:val="24"/>
        </w:rPr>
        <w:footnoteReference w:id="2"/>
      </w:r>
      <w:r w:rsidR="00454768">
        <w:rPr>
          <w:rFonts w:ascii="Times New Roman" w:hAnsi="Times New Roman" w:cs="Times New Roman"/>
          <w:sz w:val="24"/>
          <w:szCs w:val="24"/>
        </w:rPr>
        <w:t xml:space="preserve"> Expropriation for the common good is found in most, although not all of such societies.</w:t>
      </w:r>
      <w:r w:rsidR="00454768">
        <w:rPr>
          <w:rStyle w:val="FootnoteReference"/>
          <w:rFonts w:ascii="Times New Roman" w:hAnsi="Times New Roman" w:cs="Times New Roman"/>
          <w:sz w:val="24"/>
          <w:szCs w:val="24"/>
        </w:rPr>
        <w:footnoteReference w:id="3"/>
      </w:r>
    </w:p>
    <w:p w:rsidR="00454768" w:rsidRDefault="00454768" w:rsidP="00582325">
      <w:pPr>
        <w:pStyle w:val="NoSpacing"/>
        <w:rPr>
          <w:rFonts w:ascii="Times New Roman" w:hAnsi="Times New Roman" w:cs="Times New Roman"/>
          <w:sz w:val="24"/>
          <w:szCs w:val="24"/>
        </w:rPr>
      </w:pPr>
    </w:p>
    <w:p w:rsidR="00454768" w:rsidRDefault="00454768" w:rsidP="00582325">
      <w:pPr>
        <w:pStyle w:val="NoSpacing"/>
        <w:rPr>
          <w:rFonts w:ascii="Times New Roman" w:hAnsi="Times New Roman" w:cs="Times New Roman"/>
          <w:sz w:val="24"/>
          <w:szCs w:val="24"/>
        </w:rPr>
      </w:pPr>
      <w:r>
        <w:rPr>
          <w:rFonts w:ascii="Times New Roman" w:hAnsi="Times New Roman" w:cs="Times New Roman"/>
          <w:sz w:val="24"/>
          <w:szCs w:val="24"/>
        </w:rPr>
        <w:tab/>
        <w:t xml:space="preserve">The existence of expropriation is one thing; its justification is another. </w:t>
      </w:r>
      <w:r w:rsidR="00803805" w:rsidRPr="00803805">
        <w:rPr>
          <w:rFonts w:ascii="Times New Roman" w:hAnsi="Times New Roman" w:cs="Times New Roman"/>
          <w:sz w:val="24"/>
          <w:szCs w:val="24"/>
        </w:rPr>
        <w:t>Seve</w:t>
      </w:r>
      <w:r w:rsidR="00803805">
        <w:rPr>
          <w:rFonts w:ascii="Times New Roman" w:hAnsi="Times New Roman" w:cs="Times New Roman"/>
          <w:sz w:val="24"/>
          <w:szCs w:val="24"/>
        </w:rPr>
        <w:t xml:space="preserve">ral rationales for the power to expropriate land have been suggested. In the United States, the </w:t>
      </w:r>
      <w:r w:rsidR="00466D2C">
        <w:rPr>
          <w:rFonts w:ascii="Times New Roman" w:hAnsi="Times New Roman" w:cs="Times New Roman"/>
          <w:sz w:val="24"/>
          <w:szCs w:val="24"/>
        </w:rPr>
        <w:t>dominant explanation is economic</w:t>
      </w:r>
      <w:r w:rsidR="00466D2C" w:rsidRPr="00466D2C">
        <w:rPr>
          <w:rFonts w:ascii="Times New Roman" w:hAnsi="Times New Roman" w:cs="Times New Roman"/>
          <w:sz w:val="24"/>
          <w:szCs w:val="24"/>
        </w:rPr>
        <w:t>: what justifies the power of the state to force the sale of private property is economic efficiency</w:t>
      </w:r>
      <w:r w:rsidR="00466D2C">
        <w:rPr>
          <w:rFonts w:ascii="Times New Roman" w:hAnsi="Times New Roman" w:cs="Times New Roman"/>
          <w:sz w:val="24"/>
          <w:szCs w:val="24"/>
        </w:rPr>
        <w:t>.</w:t>
      </w:r>
      <w:r w:rsidR="00466D2C">
        <w:rPr>
          <w:rStyle w:val="FootnoteReference"/>
          <w:rFonts w:ascii="Times New Roman" w:hAnsi="Times New Roman" w:cs="Times New Roman"/>
          <w:sz w:val="24"/>
          <w:szCs w:val="24"/>
        </w:rPr>
        <w:footnoteReference w:id="4"/>
      </w:r>
      <w:r w:rsidR="00DA0094">
        <w:rPr>
          <w:rFonts w:ascii="Times New Roman" w:hAnsi="Times New Roman" w:cs="Times New Roman"/>
          <w:sz w:val="24"/>
          <w:szCs w:val="24"/>
        </w:rPr>
        <w:t xml:space="preserve"> Expropriation </w:t>
      </w:r>
      <w:r w:rsidR="00DA0094" w:rsidRPr="00DA0094">
        <w:rPr>
          <w:rFonts w:ascii="Times New Roman" w:hAnsi="Times New Roman" w:cs="Times New Roman"/>
          <w:sz w:val="24"/>
          <w:szCs w:val="24"/>
        </w:rPr>
        <w:t>is necessary to</w:t>
      </w:r>
      <w:r w:rsidR="00B7605C">
        <w:rPr>
          <w:rFonts w:ascii="Times New Roman" w:hAnsi="Times New Roman" w:cs="Times New Roman"/>
          <w:sz w:val="24"/>
          <w:szCs w:val="24"/>
        </w:rPr>
        <w:t xml:space="preserve"> overcome monopolies that occur </w:t>
      </w:r>
      <w:proofErr w:type="gramStart"/>
      <w:r w:rsidR="00DA0094" w:rsidRPr="00DA0094">
        <w:rPr>
          <w:rFonts w:ascii="Times New Roman" w:hAnsi="Times New Roman" w:cs="Times New Roman"/>
          <w:sz w:val="24"/>
          <w:szCs w:val="24"/>
        </w:rPr>
        <w:t>when  desirable</w:t>
      </w:r>
      <w:proofErr w:type="gramEnd"/>
      <w:r w:rsidR="00DA0094" w:rsidRPr="00DA0094">
        <w:rPr>
          <w:rFonts w:ascii="Times New Roman" w:hAnsi="Times New Roman" w:cs="Times New Roman"/>
          <w:sz w:val="24"/>
          <w:szCs w:val="24"/>
        </w:rPr>
        <w:t xml:space="preserve"> government projects are site-specific. To pick a familiar example, say a city plans to build a new airport on land that is privately owned by several owners. No other site is feasible, so the city must acquire each of these parcels. As economists have long pointed out, this means that each owner has a monopoly on an asset critical to the government</w:t>
      </w:r>
      <w:r w:rsidR="00DA0094" w:rsidRPr="00DA0094">
        <w:rPr>
          <w:rFonts w:ascii="Times New Roman" w:hAnsi="Times New Roman" w:cs="Times New Roman"/>
          <w:sz w:val="24"/>
          <w:szCs w:val="24"/>
        </w:rPr>
        <w:sym w:font="WP TypographicSymbols" w:char="003D"/>
      </w:r>
      <w:r w:rsidR="00DA0094" w:rsidRPr="00DA0094">
        <w:rPr>
          <w:rFonts w:ascii="Times New Roman" w:hAnsi="Times New Roman" w:cs="Times New Roman"/>
          <w:sz w:val="24"/>
          <w:szCs w:val="24"/>
        </w:rPr>
        <w:t xml:space="preserve">s plan, and each is in a position to extract monopoly rents from the government in exchange for selling her/his parcel. </w:t>
      </w:r>
      <w:r w:rsidR="00DA0094">
        <w:rPr>
          <w:rFonts w:ascii="Times New Roman" w:hAnsi="Times New Roman" w:cs="Times New Roman"/>
          <w:sz w:val="24"/>
          <w:szCs w:val="24"/>
        </w:rPr>
        <w:t>Expropriation</w:t>
      </w:r>
      <w:r w:rsidR="00DA0094" w:rsidRPr="00DA0094">
        <w:rPr>
          <w:rFonts w:ascii="Times New Roman" w:hAnsi="Times New Roman" w:cs="Times New Roman"/>
          <w:sz w:val="24"/>
          <w:szCs w:val="24"/>
        </w:rPr>
        <w:t xml:space="preserve"> allows the government to achieve the benefit of building the airport at a lower cost to taxpayers than would be the case if the government had to acquire each parcel through market transactions</w:t>
      </w:r>
      <w:r w:rsidR="00DA0094">
        <w:rPr>
          <w:rFonts w:ascii="Times New Roman" w:hAnsi="Times New Roman" w:cs="Times New Roman"/>
          <w:sz w:val="24"/>
          <w:szCs w:val="24"/>
        </w:rPr>
        <w:t>.</w:t>
      </w:r>
      <w:r w:rsidR="00F1641C">
        <w:rPr>
          <w:rStyle w:val="FootnoteReference"/>
          <w:rFonts w:ascii="Times New Roman" w:hAnsi="Times New Roman" w:cs="Times New Roman"/>
          <w:sz w:val="24"/>
          <w:szCs w:val="24"/>
        </w:rPr>
        <w:footnoteReference w:id="5"/>
      </w:r>
    </w:p>
    <w:p w:rsidR="00992F84" w:rsidRDefault="00992F84" w:rsidP="00582325">
      <w:pPr>
        <w:pStyle w:val="NoSpacing"/>
        <w:rPr>
          <w:rFonts w:ascii="Times New Roman" w:hAnsi="Times New Roman" w:cs="Times New Roman"/>
          <w:sz w:val="24"/>
          <w:szCs w:val="24"/>
        </w:rPr>
      </w:pPr>
    </w:p>
    <w:p w:rsidR="00992F84" w:rsidRDefault="00992F84" w:rsidP="00582325">
      <w:pPr>
        <w:pStyle w:val="NoSpacing"/>
        <w:rPr>
          <w:rFonts w:ascii="Times New Roman" w:hAnsi="Times New Roman" w:cs="Times New Roman"/>
          <w:sz w:val="24"/>
          <w:szCs w:val="24"/>
        </w:rPr>
      </w:pPr>
      <w:r>
        <w:rPr>
          <w:rFonts w:ascii="Times New Roman" w:hAnsi="Times New Roman" w:cs="Times New Roman"/>
          <w:sz w:val="24"/>
          <w:szCs w:val="24"/>
        </w:rPr>
        <w:tab/>
        <w:t xml:space="preserve">The power to expropriation land for the common good can be understood in quite different terms, however, terms that focus on the obligations that private owners owe to their </w:t>
      </w:r>
      <w:r>
        <w:rPr>
          <w:rFonts w:ascii="Times New Roman" w:hAnsi="Times New Roman" w:cs="Times New Roman"/>
          <w:sz w:val="24"/>
          <w:szCs w:val="24"/>
        </w:rPr>
        <w:lastRenderedPageBreak/>
        <w:t xml:space="preserve">communities. </w:t>
      </w:r>
      <w:r w:rsidR="00EA6BE4">
        <w:rPr>
          <w:rFonts w:ascii="Times New Roman" w:hAnsi="Times New Roman" w:cs="Times New Roman"/>
          <w:sz w:val="24"/>
          <w:szCs w:val="24"/>
        </w:rPr>
        <w:t>The constitutions of several nation-states, including Germany</w:t>
      </w:r>
      <w:r w:rsidR="00261791">
        <w:rPr>
          <w:rStyle w:val="FootnoteReference"/>
          <w:rFonts w:ascii="Times New Roman" w:hAnsi="Times New Roman" w:cs="Times New Roman"/>
          <w:sz w:val="24"/>
          <w:szCs w:val="24"/>
        </w:rPr>
        <w:footnoteReference w:id="6"/>
      </w:r>
      <w:r w:rsidR="00EA6BE4">
        <w:rPr>
          <w:rFonts w:ascii="Times New Roman" w:hAnsi="Times New Roman" w:cs="Times New Roman"/>
          <w:sz w:val="24"/>
          <w:szCs w:val="24"/>
        </w:rPr>
        <w:t xml:space="preserve"> and South Africa,</w:t>
      </w:r>
      <w:r w:rsidR="00261791">
        <w:rPr>
          <w:rStyle w:val="FootnoteReference"/>
          <w:rFonts w:ascii="Times New Roman" w:hAnsi="Times New Roman" w:cs="Times New Roman"/>
          <w:sz w:val="24"/>
          <w:szCs w:val="24"/>
        </w:rPr>
        <w:footnoteReference w:id="7"/>
      </w:r>
      <w:r w:rsidR="00EA6BE4">
        <w:rPr>
          <w:rFonts w:ascii="Times New Roman" w:hAnsi="Times New Roman" w:cs="Times New Roman"/>
          <w:sz w:val="24"/>
          <w:szCs w:val="24"/>
        </w:rPr>
        <w:t xml:space="preserve"> include provisions in their property clauses that expressly recognize such a social obligation. Even in the absence of such an explicit form of legal recognition, however, the obligation exists, not as an externally-imposed limitation on property interests but implicit in the concept of ownership itself. </w:t>
      </w:r>
      <w:r w:rsidR="00EA6BE4" w:rsidRPr="00EA6BE4">
        <w:rPr>
          <w:rFonts w:ascii="Times New Roman" w:hAnsi="Times New Roman" w:cs="Times New Roman"/>
          <w:sz w:val="24"/>
          <w:szCs w:val="24"/>
        </w:rPr>
        <w:t>Property rights and their correlative obligations are cognizable as social goods, worthy of vindication by the state, only insofar as they are consistent with community and human flourishing more generally.</w:t>
      </w:r>
      <w:r w:rsidR="00EA6BE4">
        <w:rPr>
          <w:rFonts w:ascii="Times New Roman" w:hAnsi="Times New Roman" w:cs="Times New Roman"/>
          <w:sz w:val="24"/>
          <w:szCs w:val="24"/>
        </w:rPr>
        <w:t xml:space="preserve"> </w:t>
      </w:r>
      <w:r w:rsidR="00447204" w:rsidRPr="00447204">
        <w:rPr>
          <w:rFonts w:ascii="Times New Roman" w:hAnsi="Times New Roman" w:cs="Times New Roman"/>
          <w:sz w:val="24"/>
          <w:szCs w:val="24"/>
        </w:rPr>
        <w:t>The social obligation norm is the l</w:t>
      </w:r>
      <w:r w:rsidR="00447204">
        <w:rPr>
          <w:rFonts w:ascii="Times New Roman" w:hAnsi="Times New Roman" w:cs="Times New Roman"/>
          <w:sz w:val="24"/>
          <w:szCs w:val="24"/>
        </w:rPr>
        <w:t>egal</w:t>
      </w:r>
      <w:r w:rsidR="00447204" w:rsidRPr="00447204">
        <w:rPr>
          <w:rFonts w:ascii="Times New Roman" w:hAnsi="Times New Roman" w:cs="Times New Roman"/>
          <w:sz w:val="24"/>
          <w:szCs w:val="24"/>
        </w:rPr>
        <w:t xml:space="preserve"> recognition of this straightforward conceptual entailment of the way the legal system justifies the institution of private property itself. Another way of putting this point is to say that the very factor that makes the institution of private property a social good is also the very factor which renders its limits, i.e., human flourishing.</w:t>
      </w:r>
    </w:p>
    <w:p w:rsidR="001A7211" w:rsidRDefault="001A7211" w:rsidP="00582325">
      <w:pPr>
        <w:pStyle w:val="NoSpacing"/>
        <w:rPr>
          <w:rFonts w:ascii="Times New Roman" w:hAnsi="Times New Roman" w:cs="Times New Roman"/>
          <w:sz w:val="24"/>
          <w:szCs w:val="24"/>
        </w:rPr>
      </w:pPr>
    </w:p>
    <w:p w:rsidR="001A7211" w:rsidRDefault="001A7211" w:rsidP="001A7211">
      <w:pPr>
        <w:pStyle w:val="NoSpacing"/>
        <w:jc w:val="center"/>
        <w:rPr>
          <w:rFonts w:ascii="Times New Roman" w:hAnsi="Times New Roman" w:cs="Times New Roman"/>
          <w:sz w:val="24"/>
          <w:szCs w:val="24"/>
        </w:rPr>
      </w:pPr>
      <w:r w:rsidRPr="001A7211">
        <w:rPr>
          <w:rFonts w:ascii="Times New Roman" w:hAnsi="Times New Roman" w:cs="Times New Roman"/>
          <w:sz w:val="24"/>
          <w:szCs w:val="24"/>
        </w:rPr>
        <w:t>I.</w:t>
      </w:r>
      <w:r>
        <w:rPr>
          <w:rFonts w:ascii="Times New Roman" w:hAnsi="Times New Roman" w:cs="Times New Roman"/>
          <w:sz w:val="24"/>
          <w:szCs w:val="24"/>
        </w:rPr>
        <w:t xml:space="preserve"> </w:t>
      </w:r>
      <w:r w:rsidRPr="001A7211">
        <w:rPr>
          <w:rFonts w:ascii="Times New Roman" w:hAnsi="Times New Roman" w:cs="Times New Roman"/>
          <w:b/>
          <w:smallCaps/>
          <w:sz w:val="24"/>
          <w:szCs w:val="24"/>
        </w:rPr>
        <w:t>Human Flourishing and Necessary Capabilities</w:t>
      </w:r>
    </w:p>
    <w:p w:rsidR="007D70EF" w:rsidRDefault="007D70EF" w:rsidP="00582325">
      <w:pPr>
        <w:pStyle w:val="NoSpacing"/>
        <w:rPr>
          <w:rFonts w:ascii="Times New Roman" w:hAnsi="Times New Roman" w:cs="Times New Roman"/>
          <w:sz w:val="24"/>
          <w:szCs w:val="24"/>
        </w:rPr>
      </w:pPr>
    </w:p>
    <w:p w:rsidR="00D10488" w:rsidRDefault="00225749" w:rsidP="00D10488">
      <w:pPr>
        <w:pStyle w:val="NoSpacing"/>
        <w:rPr>
          <w:rFonts w:ascii="Times New Roman" w:hAnsi="Times New Roman" w:cs="Times New Roman"/>
          <w:sz w:val="24"/>
          <w:szCs w:val="24"/>
        </w:rPr>
      </w:pPr>
      <w:r>
        <w:rPr>
          <w:rFonts w:ascii="Times New Roman" w:hAnsi="Times New Roman" w:cs="Times New Roman"/>
          <w:sz w:val="24"/>
          <w:szCs w:val="24"/>
        </w:rPr>
        <w:tab/>
        <w:t>The best</w:t>
      </w:r>
      <w:r w:rsidRPr="00225749">
        <w:rPr>
          <w:rFonts w:ascii="Times New Roman" w:hAnsi="Times New Roman" w:cs="Times New Roman"/>
          <w:sz w:val="24"/>
          <w:szCs w:val="24"/>
        </w:rPr>
        <w:t xml:space="preserve"> account of human flourishing </w:t>
      </w:r>
      <w:r>
        <w:rPr>
          <w:rFonts w:ascii="Times New Roman" w:hAnsi="Times New Roman" w:cs="Times New Roman"/>
          <w:sz w:val="24"/>
          <w:szCs w:val="24"/>
        </w:rPr>
        <w:t xml:space="preserve">is one that focuses on </w:t>
      </w:r>
      <w:r w:rsidR="00FE478D">
        <w:rPr>
          <w:rFonts w:ascii="Times New Roman" w:hAnsi="Times New Roman" w:cs="Times New Roman"/>
          <w:sz w:val="24"/>
          <w:szCs w:val="24"/>
        </w:rPr>
        <w:t xml:space="preserve">a person’s capabilities. It </w:t>
      </w:r>
      <w:r w:rsidR="00FE478D" w:rsidRPr="00FE478D">
        <w:rPr>
          <w:rFonts w:ascii="Times New Roman" w:hAnsi="Times New Roman" w:cs="Times New Roman"/>
          <w:sz w:val="24"/>
          <w:szCs w:val="24"/>
        </w:rPr>
        <w:t>measures a person</w:t>
      </w:r>
      <w:r w:rsidR="00FE478D" w:rsidRPr="00FE478D">
        <w:rPr>
          <w:rFonts w:ascii="Times New Roman" w:hAnsi="Times New Roman" w:cs="Times New Roman"/>
          <w:sz w:val="24"/>
          <w:szCs w:val="24"/>
        </w:rPr>
        <w:sym w:font="WP TypographicSymbols" w:char="003D"/>
      </w:r>
      <w:r w:rsidR="00FE478D" w:rsidRPr="00FE478D">
        <w:rPr>
          <w:rFonts w:ascii="Times New Roman" w:hAnsi="Times New Roman" w:cs="Times New Roman"/>
          <w:sz w:val="24"/>
          <w:szCs w:val="24"/>
        </w:rPr>
        <w:t>s well</w:t>
      </w:r>
      <w:r w:rsidR="00FE478D">
        <w:rPr>
          <w:rFonts w:ascii="Times New Roman" w:hAnsi="Times New Roman" w:cs="Times New Roman"/>
          <w:sz w:val="24"/>
          <w:szCs w:val="24"/>
        </w:rPr>
        <w:t>-</w:t>
      </w:r>
      <w:r w:rsidR="00FE478D" w:rsidRPr="00FE478D">
        <w:rPr>
          <w:rFonts w:ascii="Times New Roman" w:hAnsi="Times New Roman" w:cs="Times New Roman"/>
          <w:sz w:val="24"/>
          <w:szCs w:val="24"/>
        </w:rPr>
        <w:t>being not by looking at what they have, but by looking at what they are able to do</w:t>
      </w:r>
      <w:r w:rsidR="00FE478D">
        <w:rPr>
          <w:rFonts w:ascii="Times New Roman" w:hAnsi="Times New Roman" w:cs="Times New Roman"/>
          <w:sz w:val="24"/>
          <w:szCs w:val="24"/>
        </w:rPr>
        <w:t>.</w:t>
      </w:r>
      <w:r w:rsidR="00FE478D">
        <w:rPr>
          <w:rStyle w:val="FootnoteReference"/>
          <w:rFonts w:ascii="Times New Roman" w:hAnsi="Times New Roman" w:cs="Times New Roman"/>
          <w:sz w:val="24"/>
          <w:szCs w:val="24"/>
        </w:rPr>
        <w:footnoteReference w:id="8"/>
      </w:r>
      <w:r w:rsidR="000D7CFA">
        <w:rPr>
          <w:rFonts w:ascii="Times New Roman" w:hAnsi="Times New Roman" w:cs="Times New Roman"/>
          <w:sz w:val="24"/>
          <w:szCs w:val="24"/>
        </w:rPr>
        <w:t xml:space="preserve"> </w:t>
      </w:r>
      <w:r w:rsidR="00D10488" w:rsidRPr="00D10488">
        <w:rPr>
          <w:rFonts w:ascii="Times New Roman" w:hAnsi="Times New Roman" w:cs="Times New Roman"/>
          <w:sz w:val="24"/>
          <w:szCs w:val="24"/>
        </w:rPr>
        <w:t>The well-lived life is a life that conforms to certain objectively valuable patterns of human existence and interaction,</w:t>
      </w:r>
      <w:r w:rsidR="00D10488">
        <w:rPr>
          <w:rFonts w:ascii="Times New Roman" w:hAnsi="Times New Roman" w:cs="Times New Roman"/>
          <w:sz w:val="24"/>
          <w:szCs w:val="24"/>
        </w:rPr>
        <w:t xml:space="preserve"> </w:t>
      </w:r>
      <w:r w:rsidR="00D10488" w:rsidRPr="00D10488">
        <w:rPr>
          <w:rFonts w:ascii="Times New Roman" w:hAnsi="Times New Roman" w:cs="Times New Roman"/>
          <w:sz w:val="24"/>
          <w:szCs w:val="24"/>
        </w:rPr>
        <w:t xml:space="preserve">or what Sen </w:t>
      </w:r>
      <w:proofErr w:type="gramStart"/>
      <w:r w:rsidR="00D10488" w:rsidRPr="00D10488">
        <w:rPr>
          <w:rFonts w:ascii="Times New Roman" w:hAnsi="Times New Roman" w:cs="Times New Roman"/>
          <w:sz w:val="24"/>
          <w:szCs w:val="24"/>
        </w:rPr>
        <w:t>calls</w:t>
      </w:r>
      <w:proofErr w:type="gramEnd"/>
      <w:r w:rsidR="00D10488" w:rsidRPr="00D10488">
        <w:rPr>
          <w:rFonts w:ascii="Times New Roman" w:hAnsi="Times New Roman" w:cs="Times New Roman"/>
          <w:sz w:val="24"/>
          <w:szCs w:val="24"/>
        </w:rPr>
        <w:t xml:space="preserve"> </w:t>
      </w:r>
      <w:r w:rsidR="00D10488" w:rsidRPr="00D10488">
        <w:rPr>
          <w:rFonts w:ascii="Times New Roman" w:hAnsi="Times New Roman" w:cs="Times New Roman"/>
          <w:sz w:val="24"/>
          <w:szCs w:val="24"/>
        </w:rPr>
        <w:sym w:font="WP TypographicSymbols" w:char="0041"/>
      </w:r>
      <w:proofErr w:type="spellStart"/>
      <w:r w:rsidR="00D10488" w:rsidRPr="00D10488">
        <w:rPr>
          <w:rFonts w:ascii="Times New Roman" w:hAnsi="Times New Roman" w:cs="Times New Roman"/>
          <w:sz w:val="24"/>
          <w:szCs w:val="24"/>
        </w:rPr>
        <w:t>functionings</w:t>
      </w:r>
      <w:proofErr w:type="spellEnd"/>
      <w:r w:rsidR="00D10488" w:rsidRPr="00D10488">
        <w:rPr>
          <w:rFonts w:ascii="Times New Roman" w:hAnsi="Times New Roman" w:cs="Times New Roman"/>
          <w:sz w:val="24"/>
          <w:szCs w:val="24"/>
        </w:rPr>
        <w:t>,</w:t>
      </w:r>
      <w:r w:rsidR="00D10488" w:rsidRPr="00D10488">
        <w:rPr>
          <w:rFonts w:ascii="Times New Roman" w:hAnsi="Times New Roman" w:cs="Times New Roman"/>
          <w:sz w:val="24"/>
          <w:szCs w:val="24"/>
        </w:rPr>
        <w:sym w:font="WP TypographicSymbols" w:char="0040"/>
      </w:r>
      <w:r w:rsidR="00D10488" w:rsidRPr="00D10488">
        <w:rPr>
          <w:rFonts w:ascii="Times New Roman" w:hAnsi="Times New Roman" w:cs="Times New Roman"/>
          <w:sz w:val="24"/>
          <w:szCs w:val="24"/>
        </w:rPr>
        <w:t xml:space="preserve"> rather than a life characterized merely by the possession of particular goods, the satisfaction of particular (subjective) preferences, or even, without more, the possession of particular negative liberties. Social structures, including distributions of property </w:t>
      </w:r>
      <w:r w:rsidR="009039A8">
        <w:rPr>
          <w:rFonts w:ascii="Times New Roman" w:hAnsi="Times New Roman" w:cs="Times New Roman"/>
          <w:sz w:val="24"/>
          <w:szCs w:val="24"/>
        </w:rPr>
        <w:t>interest</w:t>
      </w:r>
      <w:r w:rsidR="00D10488" w:rsidRPr="00D10488">
        <w:rPr>
          <w:rFonts w:ascii="Times New Roman" w:hAnsi="Times New Roman" w:cs="Times New Roman"/>
          <w:sz w:val="24"/>
          <w:szCs w:val="24"/>
        </w:rPr>
        <w:t>s and the definition of the rights that go along with the ownership of property, are to be judged, at least in part, by the degree to which they foster the participation by human beings in these objectively valuable patterns of existence and interaction.</w:t>
      </w:r>
    </w:p>
    <w:p w:rsidR="00734F69" w:rsidRDefault="00734F69" w:rsidP="00D10488">
      <w:pPr>
        <w:pStyle w:val="NoSpacing"/>
        <w:rPr>
          <w:rFonts w:ascii="Times New Roman" w:hAnsi="Times New Roman" w:cs="Times New Roman"/>
          <w:sz w:val="24"/>
          <w:szCs w:val="24"/>
        </w:rPr>
      </w:pPr>
    </w:p>
    <w:p w:rsidR="00D223A5" w:rsidRDefault="00734F69" w:rsidP="00D10488">
      <w:pPr>
        <w:pStyle w:val="NoSpacing"/>
        <w:rPr>
          <w:rFonts w:ascii="Times New Roman" w:hAnsi="Times New Roman" w:cs="Times New Roman"/>
          <w:sz w:val="24"/>
          <w:szCs w:val="24"/>
        </w:rPr>
      </w:pPr>
      <w:r>
        <w:tab/>
      </w:r>
      <w:r w:rsidRPr="00734F69">
        <w:rPr>
          <w:rFonts w:ascii="Times New Roman" w:hAnsi="Times New Roman" w:cs="Times New Roman"/>
          <w:sz w:val="24"/>
          <w:szCs w:val="24"/>
        </w:rPr>
        <w:t>Sen distinguishes between the first-order patterns that constitute well-lived human lives (“</w:t>
      </w:r>
      <w:proofErr w:type="spellStart"/>
      <w:r w:rsidRPr="00734F69">
        <w:rPr>
          <w:rFonts w:ascii="Times New Roman" w:hAnsi="Times New Roman" w:cs="Times New Roman"/>
          <w:iCs/>
          <w:sz w:val="24"/>
          <w:szCs w:val="24"/>
        </w:rPr>
        <w:t>functionings</w:t>
      </w:r>
      <w:proofErr w:type="spellEnd"/>
      <w:r w:rsidRPr="00734F69">
        <w:rPr>
          <w:rFonts w:ascii="Times New Roman" w:hAnsi="Times New Roman" w:cs="Times New Roman"/>
          <w:sz w:val="24"/>
          <w:szCs w:val="24"/>
        </w:rPr>
        <w:t>”) and the second-order freedom or power to choose to function in particular ways, which he calls “</w:t>
      </w:r>
      <w:r w:rsidRPr="00734F69">
        <w:rPr>
          <w:rFonts w:ascii="Times New Roman" w:hAnsi="Times New Roman" w:cs="Times New Roman"/>
          <w:iCs/>
          <w:sz w:val="24"/>
          <w:szCs w:val="24"/>
        </w:rPr>
        <w:t>capabilities</w:t>
      </w:r>
      <w:r w:rsidRPr="00734F69">
        <w:rPr>
          <w:rFonts w:ascii="Times New Roman" w:hAnsi="Times New Roman" w:cs="Times New Roman"/>
          <w:sz w:val="24"/>
          <w:szCs w:val="24"/>
        </w:rPr>
        <w:t>.”</w:t>
      </w:r>
      <w:r>
        <w:rPr>
          <w:rStyle w:val="FootnoteReference"/>
          <w:rFonts w:ascii="Times New Roman" w:hAnsi="Times New Roman" w:cs="Times New Roman"/>
          <w:sz w:val="24"/>
          <w:szCs w:val="24"/>
        </w:rPr>
        <w:footnoteReference w:id="9"/>
      </w:r>
      <w:r w:rsidRPr="00734F69">
        <w:rPr>
          <w:rFonts w:ascii="Times New Roman" w:hAnsi="Times New Roman" w:cs="Times New Roman"/>
          <w:sz w:val="24"/>
          <w:szCs w:val="24"/>
        </w:rPr>
        <w:t xml:space="preserve"> As he explains, “A person’s ‘capability’ refers to the alternative combinations of </w:t>
      </w:r>
      <w:proofErr w:type="spellStart"/>
      <w:r w:rsidRPr="00734F69">
        <w:rPr>
          <w:rFonts w:ascii="Times New Roman" w:hAnsi="Times New Roman" w:cs="Times New Roman"/>
          <w:sz w:val="24"/>
          <w:szCs w:val="24"/>
        </w:rPr>
        <w:t>functionings</w:t>
      </w:r>
      <w:proofErr w:type="spellEnd"/>
      <w:r w:rsidRPr="00734F69">
        <w:rPr>
          <w:rFonts w:ascii="Times New Roman" w:hAnsi="Times New Roman" w:cs="Times New Roman"/>
          <w:sz w:val="24"/>
          <w:szCs w:val="24"/>
        </w:rPr>
        <w:t xml:space="preserve"> that are feasible for her to achieve.”</w:t>
      </w:r>
      <w:r>
        <w:rPr>
          <w:rStyle w:val="FootnoteReference"/>
          <w:rFonts w:ascii="Times New Roman" w:hAnsi="Times New Roman" w:cs="Times New Roman"/>
          <w:sz w:val="24"/>
          <w:szCs w:val="24"/>
        </w:rPr>
        <w:footnoteReference w:id="10"/>
      </w:r>
      <w:r>
        <w:t xml:space="preserve"> </w:t>
      </w:r>
      <w:r w:rsidR="00D223A5" w:rsidRPr="00D223A5">
        <w:rPr>
          <w:rFonts w:ascii="Times New Roman" w:hAnsi="Times New Roman" w:cs="Times New Roman"/>
          <w:sz w:val="24"/>
          <w:szCs w:val="24"/>
        </w:rPr>
        <w:t xml:space="preserve">Among the </w:t>
      </w:r>
      <w:r w:rsidR="00D223A5">
        <w:rPr>
          <w:rFonts w:ascii="Times New Roman" w:hAnsi="Times New Roman" w:cs="Times New Roman"/>
          <w:sz w:val="24"/>
          <w:szCs w:val="24"/>
        </w:rPr>
        <w:t>capabilitie</w:t>
      </w:r>
      <w:r w:rsidR="00D223A5" w:rsidRPr="00D223A5">
        <w:rPr>
          <w:rFonts w:ascii="Times New Roman" w:hAnsi="Times New Roman" w:cs="Times New Roman"/>
          <w:sz w:val="24"/>
          <w:szCs w:val="24"/>
        </w:rPr>
        <w:t xml:space="preserve">s that are necessary for a well-lived life are </w:t>
      </w:r>
      <w:r w:rsidR="00D223A5" w:rsidRPr="00D223A5">
        <w:rPr>
          <w:rFonts w:ascii="Times New Roman" w:hAnsi="Times New Roman" w:cs="Times New Roman"/>
          <w:i/>
          <w:iCs/>
          <w:sz w:val="24"/>
          <w:szCs w:val="24"/>
        </w:rPr>
        <w:t>life</w:t>
      </w:r>
      <w:r w:rsidR="00D223A5" w:rsidRPr="00D223A5">
        <w:rPr>
          <w:rFonts w:ascii="Times New Roman" w:hAnsi="Times New Roman" w:cs="Times New Roman"/>
          <w:sz w:val="24"/>
          <w:szCs w:val="24"/>
        </w:rPr>
        <w:t xml:space="preserve">, including certain subsidiary values such health, </w:t>
      </w:r>
      <w:r w:rsidR="00D223A5" w:rsidRPr="00D223A5">
        <w:rPr>
          <w:rFonts w:ascii="Times New Roman" w:hAnsi="Times New Roman" w:cs="Times New Roman"/>
          <w:i/>
          <w:iCs/>
          <w:sz w:val="24"/>
          <w:szCs w:val="24"/>
        </w:rPr>
        <w:t>freedom</w:t>
      </w:r>
      <w:r w:rsidR="00D223A5" w:rsidRPr="00D223A5">
        <w:rPr>
          <w:rFonts w:ascii="Times New Roman" w:hAnsi="Times New Roman" w:cs="Times New Roman"/>
          <w:sz w:val="24"/>
          <w:szCs w:val="24"/>
        </w:rPr>
        <w:t xml:space="preserve">, understood as including freedom to make deliberate choices among alternative life horizons, </w:t>
      </w:r>
      <w:r w:rsidR="00D223A5" w:rsidRPr="00D223A5">
        <w:rPr>
          <w:rFonts w:ascii="Times New Roman" w:hAnsi="Times New Roman" w:cs="Times New Roman"/>
          <w:i/>
          <w:iCs/>
          <w:sz w:val="24"/>
          <w:szCs w:val="24"/>
        </w:rPr>
        <w:t>practical reasoning</w:t>
      </w:r>
      <w:r w:rsidR="00D223A5" w:rsidRPr="00D223A5">
        <w:rPr>
          <w:rFonts w:ascii="Times New Roman" w:hAnsi="Times New Roman" w:cs="Times New Roman"/>
          <w:sz w:val="24"/>
          <w:szCs w:val="24"/>
        </w:rPr>
        <w:t xml:space="preserve">, and </w:t>
      </w:r>
      <w:r w:rsidR="00D223A5" w:rsidRPr="00D223A5">
        <w:rPr>
          <w:rFonts w:ascii="Times New Roman" w:hAnsi="Times New Roman" w:cs="Times New Roman"/>
          <w:i/>
          <w:iCs/>
          <w:sz w:val="24"/>
          <w:szCs w:val="24"/>
        </w:rPr>
        <w:t>sociality</w:t>
      </w:r>
      <w:r w:rsidR="00D223A5" w:rsidRPr="00D223A5">
        <w:rPr>
          <w:rFonts w:ascii="Times New Roman" w:hAnsi="Times New Roman" w:cs="Times New Roman"/>
          <w:sz w:val="24"/>
          <w:szCs w:val="24"/>
        </w:rPr>
        <w:t xml:space="preserve">. Although the actual achievement of these and other </w:t>
      </w:r>
      <w:r w:rsidR="00D223A5">
        <w:rPr>
          <w:rFonts w:ascii="Times New Roman" w:hAnsi="Times New Roman" w:cs="Times New Roman"/>
          <w:sz w:val="24"/>
          <w:szCs w:val="24"/>
        </w:rPr>
        <w:t>capabilitie</w:t>
      </w:r>
      <w:r w:rsidR="00D223A5" w:rsidRPr="00D223A5">
        <w:rPr>
          <w:rFonts w:ascii="Times New Roman" w:hAnsi="Times New Roman" w:cs="Times New Roman"/>
          <w:sz w:val="24"/>
          <w:szCs w:val="24"/>
        </w:rPr>
        <w:t xml:space="preserve">s is a necessary component of any plausible conception of the well-lived life, the experience of choosing among a number of possible valuable </w:t>
      </w:r>
      <w:r w:rsidR="00D223A5">
        <w:rPr>
          <w:rFonts w:ascii="Times New Roman" w:hAnsi="Times New Roman" w:cs="Times New Roman"/>
          <w:sz w:val="24"/>
          <w:szCs w:val="24"/>
        </w:rPr>
        <w:t>capabilitie</w:t>
      </w:r>
      <w:r w:rsidR="00D223A5" w:rsidRPr="00D223A5">
        <w:rPr>
          <w:rFonts w:ascii="Times New Roman" w:hAnsi="Times New Roman" w:cs="Times New Roman"/>
          <w:sz w:val="24"/>
          <w:szCs w:val="24"/>
        </w:rPr>
        <w:t xml:space="preserve">s (perhaps even including the choice not to function in certain ways) is </w:t>
      </w:r>
      <w:r w:rsidR="00D223A5" w:rsidRPr="00D223A5">
        <w:rPr>
          <w:rFonts w:ascii="Times New Roman" w:hAnsi="Times New Roman" w:cs="Times New Roman"/>
          <w:i/>
          <w:iCs/>
          <w:sz w:val="24"/>
          <w:szCs w:val="24"/>
        </w:rPr>
        <w:t xml:space="preserve">itself </w:t>
      </w:r>
      <w:r w:rsidR="00D223A5" w:rsidRPr="00D223A5">
        <w:rPr>
          <w:rFonts w:ascii="Times New Roman" w:hAnsi="Times New Roman" w:cs="Times New Roman"/>
          <w:sz w:val="24"/>
          <w:szCs w:val="24"/>
        </w:rPr>
        <w:t xml:space="preserve">an important </w:t>
      </w:r>
      <w:r w:rsidR="00D223A5">
        <w:rPr>
          <w:rFonts w:ascii="Times New Roman" w:hAnsi="Times New Roman" w:cs="Times New Roman"/>
          <w:sz w:val="24"/>
          <w:szCs w:val="24"/>
        </w:rPr>
        <w:t>capability</w:t>
      </w:r>
      <w:r w:rsidR="00D223A5" w:rsidRPr="00D223A5">
        <w:rPr>
          <w:rFonts w:ascii="Times New Roman" w:hAnsi="Times New Roman" w:cs="Times New Roman"/>
          <w:sz w:val="24"/>
          <w:szCs w:val="24"/>
        </w:rPr>
        <w:t>.</w:t>
      </w:r>
      <w:r w:rsidR="00D223A5">
        <w:rPr>
          <w:rStyle w:val="FootnoteReference"/>
          <w:rFonts w:ascii="Times New Roman" w:hAnsi="Times New Roman" w:cs="Times New Roman"/>
          <w:sz w:val="24"/>
          <w:szCs w:val="24"/>
        </w:rPr>
        <w:footnoteReference w:id="11"/>
      </w:r>
      <w:r w:rsidR="00D223A5">
        <w:rPr>
          <w:rFonts w:ascii="Times New Roman" w:hAnsi="Times New Roman" w:cs="Times New Roman"/>
          <w:sz w:val="24"/>
          <w:szCs w:val="24"/>
        </w:rPr>
        <w:t xml:space="preserve"> </w:t>
      </w:r>
    </w:p>
    <w:p w:rsidR="00C934A9" w:rsidRDefault="00C934A9" w:rsidP="00D10488">
      <w:pPr>
        <w:pStyle w:val="NoSpacing"/>
        <w:rPr>
          <w:rFonts w:ascii="Times New Roman" w:hAnsi="Times New Roman" w:cs="Times New Roman"/>
          <w:sz w:val="24"/>
          <w:szCs w:val="24"/>
        </w:rPr>
      </w:pPr>
    </w:p>
    <w:p w:rsidR="00C934A9" w:rsidRDefault="00C934A9" w:rsidP="00D10488">
      <w:pPr>
        <w:pStyle w:val="NoSpacing"/>
        <w:rPr>
          <w:rFonts w:ascii="Times New Roman" w:hAnsi="Times New Roman" w:cs="Times New Roman"/>
          <w:sz w:val="24"/>
          <w:szCs w:val="24"/>
        </w:rPr>
      </w:pPr>
      <w:r>
        <w:tab/>
      </w:r>
      <w:r w:rsidRPr="00C934A9">
        <w:rPr>
          <w:rFonts w:ascii="Times New Roman" w:hAnsi="Times New Roman" w:cs="Times New Roman"/>
          <w:sz w:val="24"/>
          <w:szCs w:val="24"/>
        </w:rPr>
        <w:t>The crucial point for my purposes is that no individual can acquire these capabilities or secure the resources to acquire them by h</w:t>
      </w:r>
      <w:r>
        <w:rPr>
          <w:rFonts w:ascii="Times New Roman" w:hAnsi="Times New Roman" w:cs="Times New Roman"/>
          <w:sz w:val="24"/>
          <w:szCs w:val="24"/>
        </w:rPr>
        <w:t>im</w:t>
      </w:r>
      <w:r w:rsidR="00616957">
        <w:rPr>
          <w:rFonts w:ascii="Times New Roman" w:hAnsi="Times New Roman" w:cs="Times New Roman"/>
          <w:sz w:val="24"/>
          <w:szCs w:val="24"/>
        </w:rPr>
        <w:t>- or her</w:t>
      </w:r>
      <w:r w:rsidRPr="00C934A9">
        <w:rPr>
          <w:rFonts w:ascii="Times New Roman" w:hAnsi="Times New Roman" w:cs="Times New Roman"/>
          <w:sz w:val="24"/>
          <w:szCs w:val="24"/>
        </w:rPr>
        <w:t>self. This is because the physical process of human development mandates our dependence on others for a great deal of the time during which we are cultivating the necessary capacities.</w:t>
      </w:r>
      <w:r w:rsidR="006E3C3C">
        <w:rPr>
          <w:rFonts w:ascii="Times New Roman" w:hAnsi="Times New Roman" w:cs="Times New Roman"/>
          <w:sz w:val="24"/>
          <w:szCs w:val="24"/>
        </w:rPr>
        <w:t xml:space="preserve"> </w:t>
      </w:r>
      <w:r w:rsidR="006E3C3C" w:rsidRPr="006E3C3C">
        <w:rPr>
          <w:rFonts w:ascii="Times New Roman" w:hAnsi="Times New Roman" w:cs="Times New Roman"/>
          <w:sz w:val="24"/>
          <w:szCs w:val="24"/>
        </w:rPr>
        <w:t xml:space="preserve">Life, freedom, practical rationality, sociality </w:t>
      </w:r>
      <w:r w:rsidR="006E3C3C" w:rsidRPr="006E3C3C">
        <w:rPr>
          <w:rFonts w:ascii="Times New Roman" w:hAnsi="Times New Roman" w:cs="Times New Roman"/>
          <w:sz w:val="24"/>
          <w:szCs w:val="24"/>
        </w:rPr>
        <w:lastRenderedPageBreak/>
        <w:t xml:space="preserve">and their </w:t>
      </w:r>
      <w:r w:rsidR="006E3C3C">
        <w:rPr>
          <w:rFonts w:ascii="Times New Roman" w:hAnsi="Times New Roman" w:cs="Times New Roman"/>
          <w:sz w:val="24"/>
          <w:szCs w:val="24"/>
        </w:rPr>
        <w:t>associated capabilities</w:t>
      </w:r>
      <w:r w:rsidR="006E3C3C" w:rsidRPr="006E3C3C">
        <w:rPr>
          <w:rFonts w:ascii="Times New Roman" w:hAnsi="Times New Roman" w:cs="Times New Roman"/>
          <w:sz w:val="24"/>
          <w:szCs w:val="24"/>
        </w:rPr>
        <w:t xml:space="preserve"> can meaningfully exist only within a vital matrix of social structures and practices. Even the most seemingly solitary and socially threatened of these capabilities, freedom, depends upon a richly social, cultural, and institutional context for the presence of which the free individual must rely on</w:t>
      </w:r>
      <w:r w:rsidR="006E3C3C">
        <w:rPr>
          <w:rFonts w:ascii="Times New Roman" w:hAnsi="Times New Roman" w:cs="Times New Roman"/>
          <w:sz w:val="24"/>
          <w:szCs w:val="24"/>
        </w:rPr>
        <w:t xml:space="preserve"> others. </w:t>
      </w:r>
    </w:p>
    <w:p w:rsidR="003D4E84" w:rsidRDefault="003D4E84" w:rsidP="00D10488">
      <w:pPr>
        <w:pStyle w:val="NoSpacing"/>
        <w:rPr>
          <w:rFonts w:ascii="Times New Roman" w:hAnsi="Times New Roman" w:cs="Times New Roman"/>
          <w:sz w:val="24"/>
          <w:szCs w:val="24"/>
        </w:rPr>
      </w:pPr>
    </w:p>
    <w:p w:rsidR="003D4E84" w:rsidRPr="00E47E1B" w:rsidRDefault="00E47E1B" w:rsidP="00D10488">
      <w:pPr>
        <w:pStyle w:val="NoSpacing"/>
        <w:rPr>
          <w:rFonts w:ascii="Times New Roman" w:hAnsi="Times New Roman" w:cs="Times New Roman"/>
          <w:sz w:val="24"/>
          <w:szCs w:val="24"/>
        </w:rPr>
      </w:pPr>
      <w:r>
        <w:tab/>
      </w:r>
      <w:r w:rsidRPr="00E47E1B">
        <w:rPr>
          <w:rFonts w:ascii="Times New Roman" w:hAnsi="Times New Roman" w:cs="Times New Roman"/>
          <w:sz w:val="24"/>
          <w:szCs w:val="24"/>
        </w:rPr>
        <w:t>Communities, including but not limited to the state, are the mediating vehicles through which we come to acquire the resources we need to flourish and to become fully socialized into the exercise of our capabilities</w:t>
      </w:r>
      <w:r>
        <w:rPr>
          <w:rFonts w:ascii="Times New Roman" w:hAnsi="Times New Roman" w:cs="Times New Roman"/>
          <w:sz w:val="24"/>
          <w:szCs w:val="24"/>
        </w:rPr>
        <w:t xml:space="preserve">. </w:t>
      </w:r>
      <w:r w:rsidRPr="00E47E1B">
        <w:rPr>
          <w:rFonts w:ascii="Times New Roman" w:hAnsi="Times New Roman" w:cs="Times New Roman"/>
          <w:sz w:val="24"/>
          <w:szCs w:val="24"/>
        </w:rPr>
        <w:t xml:space="preserve">As free, rational persons, we never cease to operate within and depend upon the matrices of the many communities in which we find ourselves in association. Each of our identities is inextricably connected in some sense with others with whom we are connected as members of one or typically more communities.  Each of our identities is literally constituted by the communities of which we are members.  </w:t>
      </w:r>
    </w:p>
    <w:p w:rsidR="00E47E1B" w:rsidRDefault="00E47E1B" w:rsidP="00D10488">
      <w:pPr>
        <w:pStyle w:val="NoSpacing"/>
        <w:rPr>
          <w:rFonts w:ascii="Times New Roman" w:hAnsi="Times New Roman" w:cs="Times New Roman"/>
          <w:sz w:val="24"/>
          <w:szCs w:val="24"/>
        </w:rPr>
      </w:pPr>
    </w:p>
    <w:p w:rsidR="003D4E84" w:rsidRDefault="003D4E84" w:rsidP="00D10488">
      <w:pPr>
        <w:pStyle w:val="NoSpacing"/>
        <w:rPr>
          <w:rFonts w:ascii="Times New Roman" w:hAnsi="Times New Roman" w:cs="Times New Roman"/>
          <w:sz w:val="24"/>
          <w:szCs w:val="24"/>
        </w:rPr>
      </w:pPr>
      <w:r>
        <w:rPr>
          <w:rFonts w:ascii="Times New Roman" w:hAnsi="Times New Roman" w:cs="Times New Roman"/>
          <w:sz w:val="24"/>
          <w:szCs w:val="24"/>
        </w:rPr>
        <w:tab/>
      </w:r>
      <w:r w:rsidRPr="003D4E84">
        <w:rPr>
          <w:rFonts w:ascii="Times New Roman" w:hAnsi="Times New Roman" w:cs="Times New Roman"/>
          <w:sz w:val="24"/>
          <w:szCs w:val="24"/>
        </w:rPr>
        <w:t>Just why does a person have an obligation to others in the community to promote the requisite capabilities? Several possible bases for this obligation exist. Within the Aristotelian tradition, the reason is directly related to the social character of human beings. Human flourishing requires not only virtues but also resources. Each of us desires resources to enable development of the capabilities that are essential for human beings. Being social animals, moreover, we want those resources not only for ourselves but also for others so that they develop the capabilities for flourishing as well</w:t>
      </w:r>
      <w:r>
        <w:rPr>
          <w:rFonts w:ascii="Times New Roman" w:hAnsi="Times New Roman" w:cs="Times New Roman"/>
          <w:sz w:val="24"/>
          <w:szCs w:val="24"/>
        </w:rPr>
        <w:t xml:space="preserve">. </w:t>
      </w:r>
      <w:r w:rsidRPr="003D4E84">
        <w:rPr>
          <w:rFonts w:ascii="Times New Roman" w:hAnsi="Times New Roman" w:cs="Times New Roman"/>
          <w:sz w:val="24"/>
          <w:szCs w:val="24"/>
        </w:rPr>
        <w:t>Hence, human flourishing requires distributive justice, the ultimate objective of which is to give people what they need in order to develop the capabilities necessary for living the well-lived life (though not necessarily what they want).</w:t>
      </w:r>
    </w:p>
    <w:p w:rsidR="00E47E1B" w:rsidRDefault="00E47E1B" w:rsidP="00D10488">
      <w:pPr>
        <w:pStyle w:val="NoSpacing"/>
        <w:rPr>
          <w:rFonts w:ascii="Times New Roman" w:hAnsi="Times New Roman" w:cs="Times New Roman"/>
          <w:sz w:val="24"/>
          <w:szCs w:val="24"/>
        </w:rPr>
      </w:pPr>
    </w:p>
    <w:p w:rsidR="00E47E1B" w:rsidRDefault="00E47E1B" w:rsidP="00E47E1B">
      <w:pPr>
        <w:pStyle w:val="NoSpacing"/>
        <w:rPr>
          <w:rFonts w:ascii="Times New Roman" w:hAnsi="Times New Roman" w:cs="Times New Roman"/>
          <w:sz w:val="24"/>
          <w:szCs w:val="24"/>
        </w:rPr>
      </w:pPr>
      <w:r>
        <w:rPr>
          <w:rFonts w:ascii="Times New Roman" w:hAnsi="Times New Roman" w:cs="Times New Roman"/>
          <w:sz w:val="24"/>
          <w:szCs w:val="24"/>
        </w:rPr>
        <w:tab/>
      </w:r>
      <w:r w:rsidRPr="00E47E1B">
        <w:rPr>
          <w:rFonts w:ascii="Times New Roman" w:hAnsi="Times New Roman" w:cs="Times New Roman"/>
          <w:sz w:val="24"/>
          <w:szCs w:val="24"/>
        </w:rPr>
        <w:t>A</w:t>
      </w:r>
      <w:r>
        <w:rPr>
          <w:rFonts w:ascii="Times New Roman" w:hAnsi="Times New Roman" w:cs="Times New Roman"/>
          <w:sz w:val="24"/>
          <w:szCs w:val="24"/>
        </w:rPr>
        <w:t>nother</w:t>
      </w:r>
      <w:r w:rsidRPr="00E47E1B">
        <w:rPr>
          <w:rFonts w:ascii="Times New Roman" w:hAnsi="Times New Roman" w:cs="Times New Roman"/>
          <w:sz w:val="24"/>
          <w:szCs w:val="24"/>
        </w:rPr>
        <w:t xml:space="preserve"> possible basis for the obligation is some notion of long-term self-interest. The idea would be that the communities which aided and continue to aid the person</w:t>
      </w:r>
      <w:r w:rsidRPr="00E47E1B">
        <w:rPr>
          <w:rFonts w:ascii="Times New Roman" w:hAnsi="Times New Roman" w:cs="Times New Roman"/>
          <w:sz w:val="24"/>
          <w:szCs w:val="24"/>
        </w:rPr>
        <w:sym w:font="WP TypographicSymbols" w:char="003D"/>
      </w:r>
      <w:r w:rsidRPr="00E47E1B">
        <w:rPr>
          <w:rFonts w:ascii="Times New Roman" w:hAnsi="Times New Roman" w:cs="Times New Roman"/>
          <w:sz w:val="24"/>
          <w:szCs w:val="24"/>
        </w:rPr>
        <w:t>s development as an autonomous moral agent depend for their well-being, and in turn, hers, on the person</w:t>
      </w:r>
      <w:r w:rsidRPr="00E47E1B">
        <w:rPr>
          <w:rFonts w:ascii="Times New Roman" w:hAnsi="Times New Roman" w:cs="Times New Roman"/>
          <w:sz w:val="24"/>
          <w:szCs w:val="24"/>
        </w:rPr>
        <w:sym w:font="WP TypographicSymbols" w:char="003D"/>
      </w:r>
      <w:proofErr w:type="spellStart"/>
      <w:r w:rsidRPr="00E47E1B">
        <w:rPr>
          <w:rFonts w:ascii="Times New Roman" w:hAnsi="Times New Roman" w:cs="Times New Roman"/>
          <w:sz w:val="24"/>
          <w:szCs w:val="24"/>
        </w:rPr>
        <w:t>s</w:t>
      </w:r>
      <w:proofErr w:type="spellEnd"/>
      <w:r w:rsidRPr="00E47E1B">
        <w:rPr>
          <w:rFonts w:ascii="Times New Roman" w:hAnsi="Times New Roman" w:cs="Times New Roman"/>
          <w:sz w:val="24"/>
          <w:szCs w:val="24"/>
        </w:rPr>
        <w:t xml:space="preserve"> helping it. </w:t>
      </w:r>
    </w:p>
    <w:p w:rsidR="005D7C2D" w:rsidRDefault="005D7C2D" w:rsidP="00E47E1B">
      <w:pPr>
        <w:pStyle w:val="NoSpacing"/>
        <w:rPr>
          <w:rFonts w:ascii="Times New Roman" w:hAnsi="Times New Roman" w:cs="Times New Roman"/>
          <w:sz w:val="24"/>
          <w:szCs w:val="24"/>
        </w:rPr>
      </w:pPr>
    </w:p>
    <w:p w:rsidR="005D7C2D" w:rsidRDefault="005D7C2D" w:rsidP="00E47E1B">
      <w:pPr>
        <w:pStyle w:val="NoSpacing"/>
        <w:rPr>
          <w:rFonts w:ascii="Times New Roman" w:hAnsi="Times New Roman" w:cs="Times New Roman"/>
          <w:sz w:val="24"/>
          <w:szCs w:val="24"/>
        </w:rPr>
      </w:pPr>
      <w:r>
        <w:tab/>
      </w:r>
      <w:r w:rsidRPr="005D7C2D">
        <w:rPr>
          <w:rFonts w:ascii="Times New Roman" w:hAnsi="Times New Roman" w:cs="Times New Roman"/>
          <w:sz w:val="24"/>
          <w:szCs w:val="24"/>
        </w:rPr>
        <w:t xml:space="preserve">Acknowledgment of our human dependence upon others, on the social matrices that nurture the capacities that enable us to flourish, creates for us </w:t>
      </w:r>
      <w:r>
        <w:rPr>
          <w:rFonts w:ascii="Times New Roman" w:hAnsi="Times New Roman" w:cs="Times New Roman"/>
          <w:sz w:val="24"/>
          <w:szCs w:val="24"/>
        </w:rPr>
        <w:t xml:space="preserve">both </w:t>
      </w:r>
      <w:r w:rsidRPr="005D7C2D">
        <w:rPr>
          <w:rFonts w:ascii="Times New Roman" w:hAnsi="Times New Roman" w:cs="Times New Roman"/>
          <w:sz w:val="24"/>
          <w:szCs w:val="24"/>
        </w:rPr>
        <w:t xml:space="preserve">a </w:t>
      </w:r>
      <w:r w:rsidR="002200AE" w:rsidRPr="005D7C2D">
        <w:rPr>
          <w:rFonts w:ascii="Times New Roman" w:hAnsi="Times New Roman" w:cs="Times New Roman"/>
          <w:sz w:val="24"/>
          <w:szCs w:val="24"/>
        </w:rPr>
        <w:t xml:space="preserve">moral </w:t>
      </w:r>
      <w:r>
        <w:rPr>
          <w:rFonts w:ascii="Times New Roman" w:hAnsi="Times New Roman" w:cs="Times New Roman"/>
          <w:sz w:val="24"/>
          <w:szCs w:val="24"/>
        </w:rPr>
        <w:t xml:space="preserve">and </w:t>
      </w:r>
      <w:r w:rsidR="002200AE">
        <w:rPr>
          <w:rFonts w:ascii="Times New Roman" w:hAnsi="Times New Roman" w:cs="Times New Roman"/>
          <w:sz w:val="24"/>
          <w:szCs w:val="24"/>
        </w:rPr>
        <w:t xml:space="preserve">a </w:t>
      </w:r>
      <w:r>
        <w:rPr>
          <w:rFonts w:ascii="Times New Roman" w:hAnsi="Times New Roman" w:cs="Times New Roman"/>
          <w:sz w:val="24"/>
          <w:szCs w:val="24"/>
        </w:rPr>
        <w:t xml:space="preserve">legal </w:t>
      </w:r>
      <w:r w:rsidRPr="005D7C2D">
        <w:rPr>
          <w:rFonts w:ascii="Times New Roman" w:hAnsi="Times New Roman" w:cs="Times New Roman"/>
          <w:sz w:val="24"/>
          <w:szCs w:val="24"/>
        </w:rPr>
        <w:t xml:space="preserve">obligation to support these matrices. The major </w:t>
      </w:r>
      <w:r>
        <w:rPr>
          <w:rFonts w:ascii="Times New Roman" w:hAnsi="Times New Roman" w:cs="Times New Roman"/>
          <w:sz w:val="24"/>
          <w:szCs w:val="24"/>
        </w:rPr>
        <w:t xml:space="preserve">theoretical </w:t>
      </w:r>
      <w:r w:rsidRPr="005D7C2D">
        <w:rPr>
          <w:rFonts w:ascii="Times New Roman" w:hAnsi="Times New Roman" w:cs="Times New Roman"/>
          <w:sz w:val="24"/>
          <w:szCs w:val="24"/>
        </w:rPr>
        <w:t>claim here, in short, is that our (and others</w:t>
      </w:r>
      <w:r w:rsidRPr="005D7C2D">
        <w:rPr>
          <w:rFonts w:ascii="Times New Roman" w:hAnsi="Times New Roman" w:cs="Times New Roman"/>
          <w:sz w:val="24"/>
          <w:szCs w:val="24"/>
        </w:rPr>
        <w:sym w:font="WP TypographicSymbols" w:char="003D"/>
      </w:r>
      <w:r w:rsidRPr="005D7C2D">
        <w:rPr>
          <w:rFonts w:ascii="Times New Roman" w:hAnsi="Times New Roman" w:cs="Times New Roman"/>
          <w:sz w:val="24"/>
          <w:szCs w:val="24"/>
        </w:rPr>
        <w:t>) dependence creates, for us (and for them), an obligation to participate in and support the social networks and structures that enable us to develop those human capabilities that make human flourishing possible.</w:t>
      </w:r>
    </w:p>
    <w:p w:rsidR="00BC3D33" w:rsidRDefault="00BC3D33" w:rsidP="00E47E1B">
      <w:pPr>
        <w:pStyle w:val="NoSpacing"/>
        <w:rPr>
          <w:rFonts w:ascii="Times New Roman" w:hAnsi="Times New Roman" w:cs="Times New Roman"/>
          <w:sz w:val="24"/>
          <w:szCs w:val="24"/>
        </w:rPr>
      </w:pPr>
    </w:p>
    <w:p w:rsidR="00BC3D33" w:rsidRDefault="00BC3D33" w:rsidP="00BC3D33">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II. </w:t>
      </w:r>
      <w:r w:rsidRPr="00BC3D33">
        <w:rPr>
          <w:rFonts w:ascii="Times New Roman" w:hAnsi="Times New Roman" w:cs="Times New Roman"/>
          <w:b/>
          <w:smallCaps/>
          <w:sz w:val="24"/>
          <w:szCs w:val="24"/>
        </w:rPr>
        <w:t xml:space="preserve">The </w:t>
      </w:r>
      <w:r w:rsidR="00157EB5">
        <w:rPr>
          <w:rFonts w:ascii="Times New Roman" w:hAnsi="Times New Roman" w:cs="Times New Roman"/>
          <w:b/>
          <w:smallCaps/>
          <w:sz w:val="24"/>
          <w:szCs w:val="24"/>
        </w:rPr>
        <w:t xml:space="preserve">Public Use Requirement, The </w:t>
      </w:r>
      <w:r w:rsidRPr="00BC3D33">
        <w:rPr>
          <w:rFonts w:ascii="Times New Roman" w:hAnsi="Times New Roman" w:cs="Times New Roman"/>
          <w:b/>
          <w:smallCaps/>
          <w:sz w:val="24"/>
          <w:szCs w:val="24"/>
        </w:rPr>
        <w:t xml:space="preserve">Social Obligation </w:t>
      </w:r>
      <w:r w:rsidR="007B4AD2">
        <w:rPr>
          <w:rFonts w:ascii="Times New Roman" w:hAnsi="Times New Roman" w:cs="Times New Roman"/>
          <w:b/>
          <w:smallCaps/>
          <w:sz w:val="24"/>
          <w:szCs w:val="24"/>
        </w:rPr>
        <w:t xml:space="preserve">Norm </w:t>
      </w:r>
      <w:r w:rsidRPr="00BC3D33">
        <w:rPr>
          <w:rFonts w:ascii="Times New Roman" w:hAnsi="Times New Roman" w:cs="Times New Roman"/>
          <w:b/>
          <w:smallCaps/>
          <w:sz w:val="24"/>
          <w:szCs w:val="24"/>
        </w:rPr>
        <w:t>and Expropriation</w:t>
      </w:r>
    </w:p>
    <w:p w:rsidR="00BC3D33" w:rsidRDefault="00BC3D33" w:rsidP="00E47E1B">
      <w:pPr>
        <w:pStyle w:val="NoSpacing"/>
        <w:rPr>
          <w:rFonts w:ascii="Times New Roman" w:hAnsi="Times New Roman" w:cs="Times New Roman"/>
          <w:sz w:val="24"/>
          <w:szCs w:val="24"/>
        </w:rPr>
      </w:pPr>
    </w:p>
    <w:p w:rsidR="00E93EFA" w:rsidRDefault="0085050B" w:rsidP="00F60809">
      <w:pPr>
        <w:pStyle w:val="NoSpacing"/>
        <w:rPr>
          <w:rFonts w:ascii="Times New Roman" w:hAnsi="Times New Roman" w:cs="Times New Roman"/>
          <w:sz w:val="24"/>
          <w:szCs w:val="24"/>
        </w:rPr>
      </w:pPr>
      <w:r>
        <w:rPr>
          <w:rFonts w:ascii="Times New Roman" w:hAnsi="Times New Roman" w:cs="Times New Roman"/>
          <w:sz w:val="24"/>
          <w:szCs w:val="24"/>
        </w:rPr>
        <w:tab/>
      </w:r>
      <w:r w:rsidRPr="0085050B">
        <w:rPr>
          <w:rFonts w:ascii="Times New Roman" w:hAnsi="Times New Roman" w:cs="Times New Roman"/>
          <w:sz w:val="24"/>
          <w:szCs w:val="24"/>
        </w:rPr>
        <w:t>With the</w:t>
      </w:r>
      <w:r>
        <w:t xml:space="preserve"> </w:t>
      </w:r>
      <w:r>
        <w:rPr>
          <w:rFonts w:ascii="Times New Roman" w:hAnsi="Times New Roman" w:cs="Times New Roman"/>
          <w:sz w:val="24"/>
          <w:szCs w:val="24"/>
        </w:rPr>
        <w:t xml:space="preserve">theoretical foundation laid, we can now </w:t>
      </w:r>
      <w:r w:rsidR="005078AC">
        <w:rPr>
          <w:rFonts w:ascii="Times New Roman" w:hAnsi="Times New Roman" w:cs="Times New Roman"/>
          <w:sz w:val="24"/>
          <w:szCs w:val="24"/>
        </w:rPr>
        <w:t>reexamine</w:t>
      </w:r>
      <w:r>
        <w:rPr>
          <w:rFonts w:ascii="Times New Roman" w:hAnsi="Times New Roman" w:cs="Times New Roman"/>
          <w:sz w:val="24"/>
          <w:szCs w:val="24"/>
        </w:rPr>
        <w:t xml:space="preserve"> expropriation and its proper limitations. </w:t>
      </w:r>
      <w:r w:rsidR="00F60809" w:rsidRPr="00F60809">
        <w:rPr>
          <w:rFonts w:ascii="Times New Roman" w:hAnsi="Times New Roman" w:cs="Times New Roman"/>
          <w:sz w:val="24"/>
          <w:szCs w:val="24"/>
        </w:rPr>
        <w:t>Expropriation</w:t>
      </w:r>
      <w:r w:rsidR="00E93EFA" w:rsidRPr="00F60809">
        <w:rPr>
          <w:rFonts w:ascii="Times New Roman" w:hAnsi="Times New Roman" w:cs="Times New Roman"/>
          <w:sz w:val="24"/>
          <w:szCs w:val="24"/>
        </w:rPr>
        <w:t xml:space="preserve"> is a legal and political process for determining just what that responsibility is. At its most general level, the power of </w:t>
      </w:r>
      <w:r w:rsidR="00F60809">
        <w:rPr>
          <w:rFonts w:ascii="Times New Roman" w:hAnsi="Times New Roman" w:cs="Times New Roman"/>
          <w:sz w:val="24"/>
          <w:szCs w:val="24"/>
        </w:rPr>
        <w:t xml:space="preserve">expropriation </w:t>
      </w:r>
      <w:r w:rsidR="00E93EFA" w:rsidRPr="00F60809">
        <w:rPr>
          <w:rFonts w:ascii="Times New Roman" w:hAnsi="Times New Roman" w:cs="Times New Roman"/>
          <w:sz w:val="24"/>
          <w:szCs w:val="24"/>
        </w:rPr>
        <w:t xml:space="preserve">represents </w:t>
      </w:r>
      <w:r w:rsidR="00F60809">
        <w:rPr>
          <w:rFonts w:ascii="Times New Roman" w:hAnsi="Times New Roman" w:cs="Times New Roman"/>
          <w:sz w:val="24"/>
          <w:szCs w:val="24"/>
        </w:rPr>
        <w:t>the polity’s</w:t>
      </w:r>
      <w:r w:rsidR="00E93EFA" w:rsidRPr="00F60809">
        <w:rPr>
          <w:rFonts w:ascii="Times New Roman" w:hAnsi="Times New Roman" w:cs="Times New Roman"/>
          <w:sz w:val="24"/>
          <w:szCs w:val="24"/>
        </w:rPr>
        <w:t xml:space="preserve"> collective judgment that the state is justified in demanding</w:t>
      </w:r>
      <w:r w:rsidR="00F60809">
        <w:rPr>
          <w:rFonts w:ascii="Times New Roman" w:hAnsi="Times New Roman" w:cs="Times New Roman"/>
          <w:sz w:val="24"/>
          <w:szCs w:val="24"/>
        </w:rPr>
        <w:t xml:space="preserve"> transfer of title to our land to</w:t>
      </w:r>
      <w:r w:rsidR="00E93EFA" w:rsidRPr="00F60809">
        <w:rPr>
          <w:rFonts w:ascii="Times New Roman" w:hAnsi="Times New Roman" w:cs="Times New Roman"/>
          <w:sz w:val="24"/>
          <w:szCs w:val="24"/>
        </w:rPr>
        <w:t xml:space="preserve"> </w:t>
      </w:r>
      <w:r w:rsidR="00F60809">
        <w:rPr>
          <w:rFonts w:ascii="Times New Roman" w:hAnsi="Times New Roman" w:cs="Times New Roman"/>
          <w:sz w:val="24"/>
          <w:szCs w:val="24"/>
        </w:rPr>
        <w:t>the</w:t>
      </w:r>
      <w:r w:rsidR="00E93EFA" w:rsidRPr="00F60809">
        <w:rPr>
          <w:rFonts w:ascii="Times New Roman" w:hAnsi="Times New Roman" w:cs="Times New Roman"/>
          <w:sz w:val="24"/>
          <w:szCs w:val="24"/>
        </w:rPr>
        <w:t xml:space="preserve"> members of the political and society community </w:t>
      </w:r>
      <w:r w:rsidR="00F60809">
        <w:rPr>
          <w:rFonts w:ascii="Times New Roman" w:hAnsi="Times New Roman" w:cs="Times New Roman"/>
          <w:sz w:val="24"/>
          <w:szCs w:val="24"/>
        </w:rPr>
        <w:t>that</w:t>
      </w:r>
      <w:r w:rsidR="00E93EFA" w:rsidRPr="00F60809">
        <w:rPr>
          <w:rFonts w:ascii="Times New Roman" w:hAnsi="Times New Roman" w:cs="Times New Roman"/>
          <w:sz w:val="24"/>
          <w:szCs w:val="24"/>
        </w:rPr>
        <w:t xml:space="preserve"> nurtures us as flourishing individuals </w:t>
      </w:r>
      <w:r w:rsidR="00E93EFA" w:rsidRPr="00F60809">
        <w:rPr>
          <w:rFonts w:ascii="Times New Roman" w:hAnsi="Times New Roman" w:cs="Times New Roman"/>
          <w:sz w:val="24"/>
          <w:szCs w:val="24"/>
        </w:rPr>
        <w:sym w:font="WP TypographicSymbols" w:char="0042"/>
      </w:r>
      <w:r w:rsidR="00E93EFA" w:rsidRPr="00F60809">
        <w:rPr>
          <w:rFonts w:ascii="Times New Roman" w:hAnsi="Times New Roman" w:cs="Times New Roman"/>
          <w:sz w:val="24"/>
          <w:szCs w:val="24"/>
        </w:rPr>
        <w:t xml:space="preserve"> that under certain conditions we as landowners may have to sacrifice title to our land in exchange for just compensation.</w:t>
      </w:r>
      <w:r w:rsidR="007F7A7A">
        <w:rPr>
          <w:rFonts w:ascii="Times New Roman" w:hAnsi="Times New Roman" w:cs="Times New Roman"/>
          <w:sz w:val="24"/>
          <w:szCs w:val="24"/>
        </w:rPr>
        <w:t xml:space="preserve"> </w:t>
      </w:r>
    </w:p>
    <w:p w:rsidR="007F7A7A" w:rsidRDefault="007F7A7A" w:rsidP="00F60809">
      <w:pPr>
        <w:pStyle w:val="NoSpacing"/>
        <w:rPr>
          <w:rFonts w:ascii="Times New Roman" w:hAnsi="Times New Roman" w:cs="Times New Roman"/>
          <w:sz w:val="24"/>
          <w:szCs w:val="24"/>
        </w:rPr>
      </w:pPr>
    </w:p>
    <w:p w:rsidR="007F7A7A" w:rsidRPr="00F60809" w:rsidRDefault="007F7A7A" w:rsidP="00F60809">
      <w:pPr>
        <w:pStyle w:val="NoSpacing"/>
        <w:rPr>
          <w:rFonts w:ascii="Times New Roman" w:hAnsi="Times New Roman" w:cs="Times New Roman"/>
          <w:sz w:val="24"/>
          <w:szCs w:val="24"/>
        </w:rPr>
      </w:pPr>
      <w:r>
        <w:rPr>
          <w:rFonts w:ascii="Times New Roman" w:hAnsi="Times New Roman" w:cs="Times New Roman"/>
          <w:sz w:val="24"/>
          <w:szCs w:val="24"/>
        </w:rPr>
        <w:lastRenderedPageBreak/>
        <w:tab/>
        <w:t xml:space="preserve">Clearly, there must be limits to this obligation and the state’s power to expropriate. </w:t>
      </w:r>
      <w:r w:rsidR="00FA7A34">
        <w:rPr>
          <w:rFonts w:ascii="Times New Roman" w:hAnsi="Times New Roman" w:cs="Times New Roman"/>
          <w:sz w:val="24"/>
          <w:szCs w:val="24"/>
        </w:rPr>
        <w:t xml:space="preserve">This is the main purpose of the requirement that expropriation be for the common good or for a public use. </w:t>
      </w:r>
      <w:r w:rsidR="006260FB">
        <w:rPr>
          <w:rFonts w:ascii="Times New Roman" w:hAnsi="Times New Roman" w:cs="Times New Roman"/>
          <w:sz w:val="24"/>
          <w:szCs w:val="24"/>
        </w:rPr>
        <w:t xml:space="preserve">It is impermissible for the state to expropriate land with the intention of transferring it, say, to a private citizen who has contributed large sums of money to the dominant political party. </w:t>
      </w:r>
      <w:r w:rsidR="00F655E4">
        <w:rPr>
          <w:rFonts w:ascii="Times New Roman" w:hAnsi="Times New Roman" w:cs="Times New Roman"/>
          <w:sz w:val="24"/>
          <w:szCs w:val="24"/>
        </w:rPr>
        <w:t xml:space="preserve">But the terms “common good” and “public use” are hardly self-defining, and their ambiguity creates a serious challenge to </w:t>
      </w:r>
      <w:r w:rsidR="00462772">
        <w:rPr>
          <w:rFonts w:ascii="Times New Roman" w:hAnsi="Times New Roman" w:cs="Times New Roman"/>
          <w:sz w:val="24"/>
          <w:szCs w:val="24"/>
        </w:rPr>
        <w:t>a principled use of the power to expropriate, in particular exercises of that power that are consistent with the value of human flourishing.</w:t>
      </w:r>
    </w:p>
    <w:p w:rsidR="00E93EFA" w:rsidRPr="008212C4" w:rsidRDefault="00E93EFA" w:rsidP="00E47E1B">
      <w:pPr>
        <w:pStyle w:val="NoSpacing"/>
        <w:rPr>
          <w:rFonts w:ascii="Times New Roman" w:hAnsi="Times New Roman" w:cs="Times New Roman"/>
          <w:sz w:val="24"/>
          <w:szCs w:val="24"/>
        </w:rPr>
      </w:pPr>
    </w:p>
    <w:p w:rsidR="00BC3D33" w:rsidRDefault="00D74141" w:rsidP="00E47E1B">
      <w:pPr>
        <w:pStyle w:val="NoSpacing"/>
        <w:rPr>
          <w:rFonts w:ascii="Times New Roman" w:hAnsi="Times New Roman" w:cs="Times New Roman"/>
          <w:iCs/>
          <w:sz w:val="24"/>
          <w:szCs w:val="24"/>
        </w:rPr>
      </w:pPr>
      <w:r>
        <w:rPr>
          <w:rFonts w:ascii="Times New Roman" w:hAnsi="Times New Roman" w:cs="Times New Roman"/>
          <w:sz w:val="24"/>
          <w:szCs w:val="24"/>
        </w:rPr>
        <w:tab/>
        <w:t xml:space="preserve">The public-use requirement has been the topic of considerable controversy in the United States within the past several years. </w:t>
      </w:r>
      <w:r w:rsidR="00165176">
        <w:rPr>
          <w:rFonts w:ascii="Times New Roman" w:hAnsi="Times New Roman" w:cs="Times New Roman"/>
          <w:sz w:val="24"/>
          <w:szCs w:val="24"/>
        </w:rPr>
        <w:t xml:space="preserve">Until fifteen or so years ago, hardly anyone had paid attention to the requirement, and </w:t>
      </w:r>
      <w:r w:rsidR="00165176" w:rsidRPr="00165176">
        <w:rPr>
          <w:rFonts w:ascii="Times New Roman" w:hAnsi="Times New Roman" w:cs="Times New Roman"/>
          <w:sz w:val="24"/>
          <w:szCs w:val="24"/>
        </w:rPr>
        <w:t xml:space="preserve">the conventional wisdom was that that the public-use requirement of the U.S. Constitution’s Fifth Amendment was </w:t>
      </w:r>
      <w:r w:rsidR="00165176" w:rsidRPr="00165176">
        <w:rPr>
          <w:rFonts w:ascii="Times New Roman" w:hAnsi="Times New Roman" w:cs="Times New Roman"/>
          <w:sz w:val="24"/>
          <w:szCs w:val="24"/>
        </w:rPr>
        <w:sym w:font="WP TypographicSymbols" w:char="0041"/>
      </w:r>
      <w:r w:rsidR="00165176" w:rsidRPr="00165176">
        <w:rPr>
          <w:rFonts w:ascii="Times New Roman" w:hAnsi="Times New Roman" w:cs="Times New Roman"/>
          <w:sz w:val="24"/>
          <w:szCs w:val="24"/>
        </w:rPr>
        <w:t>a dead letter.”</w:t>
      </w:r>
      <w:r w:rsidR="00165176">
        <w:rPr>
          <w:rStyle w:val="FootnoteReference"/>
          <w:rFonts w:ascii="Times New Roman" w:hAnsi="Times New Roman" w:cs="Times New Roman"/>
          <w:sz w:val="24"/>
          <w:szCs w:val="24"/>
        </w:rPr>
        <w:footnoteReference w:id="12"/>
      </w:r>
      <w:r w:rsidR="00165176">
        <w:rPr>
          <w:rFonts w:ascii="Times New Roman" w:hAnsi="Times New Roman" w:cs="Times New Roman"/>
          <w:sz w:val="24"/>
          <w:szCs w:val="24"/>
        </w:rPr>
        <w:t xml:space="preserve"> </w:t>
      </w:r>
      <w:r w:rsidR="003B19D9">
        <w:rPr>
          <w:rFonts w:ascii="Times New Roman" w:hAnsi="Times New Roman" w:cs="Times New Roman"/>
          <w:sz w:val="24"/>
          <w:szCs w:val="24"/>
        </w:rPr>
        <w:t xml:space="preserve">That state of quiescence ended in 2004 when the United States Supreme Court issued its decision in the widely-noted case of </w:t>
      </w:r>
      <w:proofErr w:type="spellStart"/>
      <w:r w:rsidR="003B19D9" w:rsidRPr="003B19D9">
        <w:rPr>
          <w:rFonts w:ascii="Times New Roman" w:hAnsi="Times New Roman" w:cs="Times New Roman"/>
          <w:i/>
          <w:iCs/>
          <w:sz w:val="24"/>
          <w:szCs w:val="24"/>
        </w:rPr>
        <w:t>Kelo</w:t>
      </w:r>
      <w:proofErr w:type="spellEnd"/>
      <w:r w:rsidR="003B19D9" w:rsidRPr="003B19D9">
        <w:rPr>
          <w:rFonts w:ascii="Times New Roman" w:hAnsi="Times New Roman" w:cs="Times New Roman"/>
          <w:i/>
          <w:iCs/>
          <w:sz w:val="24"/>
          <w:szCs w:val="24"/>
        </w:rPr>
        <w:t xml:space="preserve"> v. City of New London, Connecticut</w:t>
      </w:r>
      <w:r w:rsidR="003B19D9">
        <w:rPr>
          <w:rFonts w:ascii="Times New Roman" w:hAnsi="Times New Roman" w:cs="Times New Roman"/>
          <w:i/>
          <w:iCs/>
          <w:sz w:val="24"/>
          <w:szCs w:val="24"/>
        </w:rPr>
        <w:t>.</w:t>
      </w:r>
      <w:r w:rsidR="003B19D9" w:rsidRPr="00D12187">
        <w:rPr>
          <w:rStyle w:val="FootnoteReference"/>
          <w:rFonts w:ascii="Times New Roman" w:hAnsi="Times New Roman" w:cs="Times New Roman"/>
          <w:iCs/>
          <w:sz w:val="24"/>
          <w:szCs w:val="24"/>
        </w:rPr>
        <w:footnoteReference w:id="13"/>
      </w:r>
      <w:r w:rsidR="00D12187">
        <w:rPr>
          <w:rFonts w:ascii="Times New Roman" w:hAnsi="Times New Roman" w:cs="Times New Roman"/>
          <w:i/>
          <w:iCs/>
          <w:sz w:val="24"/>
          <w:szCs w:val="24"/>
        </w:rPr>
        <w:t xml:space="preserve"> </w:t>
      </w:r>
      <w:r w:rsidR="00A906B1">
        <w:rPr>
          <w:rFonts w:ascii="Times New Roman" w:hAnsi="Times New Roman" w:cs="Times New Roman"/>
          <w:iCs/>
          <w:sz w:val="24"/>
          <w:szCs w:val="24"/>
        </w:rPr>
        <w:t xml:space="preserve">In that case, the city of New London, Connecticut, approved a development plan that was intended to revitalize this economically-distressed but not blighted city. The plan involved acquisition of land by purchase or expropriation for a large multi-purpose project that was stimulated by the announcement that a large pharmaceutical firm (Pfizer) intended to build a research facility in the area. Much of the acquired land was to be used for residential and commercial purposes rather than more familiar public-use purposes such as public parks, roads, and the like. When some property owners refused to sell, the public development agency </w:t>
      </w:r>
      <w:r w:rsidR="00B8774B">
        <w:rPr>
          <w:rFonts w:ascii="Times New Roman" w:hAnsi="Times New Roman" w:cs="Times New Roman"/>
          <w:iCs/>
          <w:sz w:val="24"/>
          <w:szCs w:val="24"/>
        </w:rPr>
        <w:t>began expropriation proceedings. The petitioners brought a lawsuit that the expropriation would violate the constitutional public-use requirement.</w:t>
      </w:r>
      <w:r w:rsidR="001B7210">
        <w:rPr>
          <w:rFonts w:ascii="Times New Roman" w:hAnsi="Times New Roman" w:cs="Times New Roman"/>
          <w:iCs/>
          <w:sz w:val="24"/>
          <w:szCs w:val="24"/>
        </w:rPr>
        <w:t xml:space="preserve"> A narrowly-divided Supreme Court held that an expropriation for economic development purposes meets the public-use requirement.</w:t>
      </w:r>
    </w:p>
    <w:p w:rsidR="001B7210" w:rsidRDefault="001B7210" w:rsidP="00E47E1B">
      <w:pPr>
        <w:pStyle w:val="NoSpacing"/>
        <w:rPr>
          <w:rFonts w:ascii="Times New Roman" w:hAnsi="Times New Roman" w:cs="Times New Roman"/>
          <w:iCs/>
          <w:sz w:val="24"/>
          <w:szCs w:val="24"/>
        </w:rPr>
      </w:pPr>
    </w:p>
    <w:p w:rsidR="00F33A2D" w:rsidRDefault="00523A73" w:rsidP="00E47E1B">
      <w:pPr>
        <w:pStyle w:val="NoSpacing"/>
        <w:rPr>
          <w:rFonts w:ascii="Times New Roman" w:hAnsi="Times New Roman" w:cs="Times New Roman"/>
          <w:iCs/>
          <w:sz w:val="24"/>
          <w:szCs w:val="24"/>
        </w:rPr>
      </w:pPr>
      <w:r>
        <w:rPr>
          <w:rFonts w:ascii="Times New Roman" w:hAnsi="Times New Roman" w:cs="Times New Roman"/>
          <w:iCs/>
          <w:sz w:val="24"/>
          <w:szCs w:val="24"/>
        </w:rPr>
        <w:tab/>
        <w:t xml:space="preserve">In his majority opinion, Justice Stevens pointed out that some parameters of the public-use requirement are clear. On the one hand, the government may not simply expropriate land from a private owner solely to transfer it to another private part, even if compensation is paid. </w:t>
      </w:r>
      <w:r w:rsidR="00D71064">
        <w:rPr>
          <w:rFonts w:ascii="Times New Roman" w:hAnsi="Times New Roman" w:cs="Times New Roman"/>
          <w:iCs/>
          <w:sz w:val="24"/>
          <w:szCs w:val="24"/>
        </w:rPr>
        <w:t xml:space="preserve">On the other hand, the government clearly may expropriate land if actual use by the public is intended, as in instances of expropriation for railroad rights-of-way or parks. </w:t>
      </w:r>
      <w:r w:rsidR="001011A4">
        <w:rPr>
          <w:rFonts w:ascii="Times New Roman" w:hAnsi="Times New Roman" w:cs="Times New Roman"/>
          <w:iCs/>
          <w:sz w:val="24"/>
          <w:szCs w:val="24"/>
        </w:rPr>
        <w:t>But is “public use” confined to situations where the public actually uses or has a right to use the expropriated land? Such a view would greatly limit the state’s expropriation power, and American courts have not so narrowly the requirement, at least not since the 19</w:t>
      </w:r>
      <w:r w:rsidR="001011A4" w:rsidRPr="001011A4">
        <w:rPr>
          <w:rFonts w:ascii="Times New Roman" w:hAnsi="Times New Roman" w:cs="Times New Roman"/>
          <w:iCs/>
          <w:sz w:val="24"/>
          <w:szCs w:val="24"/>
          <w:vertAlign w:val="superscript"/>
        </w:rPr>
        <w:t>th</w:t>
      </w:r>
      <w:r w:rsidR="001011A4">
        <w:rPr>
          <w:rFonts w:ascii="Times New Roman" w:hAnsi="Times New Roman" w:cs="Times New Roman"/>
          <w:iCs/>
          <w:sz w:val="24"/>
          <w:szCs w:val="24"/>
        </w:rPr>
        <w:t xml:space="preserve"> century.</w:t>
      </w:r>
      <w:r w:rsidR="001011A4">
        <w:rPr>
          <w:rStyle w:val="FootnoteReference"/>
          <w:rFonts w:ascii="Times New Roman" w:hAnsi="Times New Roman" w:cs="Times New Roman"/>
          <w:iCs/>
          <w:sz w:val="24"/>
          <w:szCs w:val="24"/>
        </w:rPr>
        <w:footnoteReference w:id="14"/>
      </w:r>
      <w:r w:rsidR="00203C4B">
        <w:rPr>
          <w:rFonts w:ascii="Times New Roman" w:hAnsi="Times New Roman" w:cs="Times New Roman"/>
          <w:iCs/>
          <w:sz w:val="24"/>
          <w:szCs w:val="24"/>
        </w:rPr>
        <w:t xml:space="preserve"> </w:t>
      </w:r>
      <w:r w:rsidR="00E55894">
        <w:rPr>
          <w:rFonts w:ascii="Times New Roman" w:hAnsi="Times New Roman" w:cs="Times New Roman"/>
          <w:iCs/>
          <w:sz w:val="24"/>
          <w:szCs w:val="24"/>
        </w:rPr>
        <w:t xml:space="preserve">A far more relaxed view equates “public use” with “public benefit.” On this view, so long as the public enjoys any benefit from the intended use of the expropriated land, the requirement is met. A much narrower view holds that public use must involve provision of “public goods” in the technical economic sense. That is a very limited category of use because true public goods are rare. They </w:t>
      </w:r>
      <w:r w:rsidR="006E796F">
        <w:rPr>
          <w:rFonts w:ascii="Times New Roman" w:hAnsi="Times New Roman" w:cs="Times New Roman"/>
          <w:iCs/>
          <w:sz w:val="24"/>
          <w:szCs w:val="24"/>
        </w:rPr>
        <w:t xml:space="preserve">have two characteristics: (1) Once the good is provided, it is impossible to prevent anyone from consuming it; (2) consumption by one person does not diminish or otherwise affect the ability of others to consume it as well. </w:t>
      </w:r>
    </w:p>
    <w:p w:rsidR="00477A57" w:rsidRDefault="00477A57" w:rsidP="00E47E1B">
      <w:pPr>
        <w:pStyle w:val="NoSpacing"/>
        <w:rPr>
          <w:rFonts w:ascii="Times New Roman" w:hAnsi="Times New Roman" w:cs="Times New Roman"/>
          <w:iCs/>
          <w:sz w:val="24"/>
          <w:szCs w:val="24"/>
        </w:rPr>
      </w:pPr>
    </w:p>
    <w:p w:rsidR="00477A57" w:rsidRDefault="00477A57" w:rsidP="00E47E1B">
      <w:pPr>
        <w:pStyle w:val="NoSpacing"/>
        <w:rPr>
          <w:rFonts w:ascii="Times New Roman" w:hAnsi="Times New Roman" w:cs="Times New Roman"/>
          <w:iCs/>
          <w:sz w:val="24"/>
          <w:szCs w:val="24"/>
        </w:rPr>
      </w:pPr>
      <w:r>
        <w:rPr>
          <w:rFonts w:ascii="Times New Roman" w:hAnsi="Times New Roman" w:cs="Times New Roman"/>
          <w:iCs/>
          <w:sz w:val="24"/>
          <w:szCs w:val="24"/>
        </w:rPr>
        <w:tab/>
        <w:t xml:space="preserve">Justice Stevens chose none of these. </w:t>
      </w:r>
      <w:r w:rsidR="00133AD4">
        <w:rPr>
          <w:rFonts w:ascii="Times New Roman" w:hAnsi="Times New Roman" w:cs="Times New Roman"/>
          <w:iCs/>
          <w:sz w:val="24"/>
          <w:szCs w:val="24"/>
        </w:rPr>
        <w:t xml:space="preserve">Rather, he stated that the test is whether the project in mind serves a “public purpose,” such as a plan to clear and reclaim an urban area in which </w:t>
      </w:r>
      <w:r w:rsidR="00133AD4">
        <w:rPr>
          <w:rFonts w:ascii="Times New Roman" w:hAnsi="Times New Roman" w:cs="Times New Roman"/>
          <w:iCs/>
          <w:sz w:val="24"/>
          <w:szCs w:val="24"/>
        </w:rPr>
        <w:lastRenderedPageBreak/>
        <w:t>some parts are blighted but others are not.</w:t>
      </w:r>
      <w:r w:rsidR="00690484">
        <w:rPr>
          <w:rStyle w:val="FootnoteReference"/>
          <w:rFonts w:ascii="Times New Roman" w:hAnsi="Times New Roman" w:cs="Times New Roman"/>
          <w:iCs/>
          <w:sz w:val="24"/>
          <w:szCs w:val="24"/>
        </w:rPr>
        <w:footnoteReference w:id="15"/>
      </w:r>
      <w:r w:rsidR="00690484">
        <w:rPr>
          <w:rFonts w:ascii="Times New Roman" w:hAnsi="Times New Roman" w:cs="Times New Roman"/>
          <w:iCs/>
          <w:sz w:val="24"/>
          <w:szCs w:val="24"/>
        </w:rPr>
        <w:t xml:space="preserve"> </w:t>
      </w:r>
      <w:r w:rsidR="00276EDF">
        <w:rPr>
          <w:rFonts w:ascii="Times New Roman" w:hAnsi="Times New Roman" w:cs="Times New Roman"/>
          <w:iCs/>
          <w:sz w:val="24"/>
          <w:szCs w:val="24"/>
        </w:rPr>
        <w:t>Plans such as this are legitimate and traditional functions of the state.</w:t>
      </w:r>
    </w:p>
    <w:p w:rsidR="00276EDF" w:rsidRDefault="00276EDF" w:rsidP="00E47E1B">
      <w:pPr>
        <w:pStyle w:val="NoSpacing"/>
        <w:rPr>
          <w:rFonts w:ascii="Times New Roman" w:hAnsi="Times New Roman" w:cs="Times New Roman"/>
          <w:iCs/>
          <w:sz w:val="24"/>
          <w:szCs w:val="24"/>
        </w:rPr>
      </w:pPr>
    </w:p>
    <w:p w:rsidR="00276EDF" w:rsidRDefault="00276EDF" w:rsidP="00E47E1B">
      <w:pPr>
        <w:pStyle w:val="NoSpacing"/>
        <w:rPr>
          <w:rFonts w:ascii="Times New Roman" w:hAnsi="Times New Roman" w:cs="Times New Roman"/>
          <w:iCs/>
          <w:sz w:val="24"/>
          <w:szCs w:val="24"/>
        </w:rPr>
      </w:pPr>
      <w:r>
        <w:rPr>
          <w:rFonts w:ascii="Times New Roman" w:hAnsi="Times New Roman" w:cs="Times New Roman"/>
          <w:iCs/>
          <w:sz w:val="24"/>
          <w:szCs w:val="24"/>
        </w:rPr>
        <w:tab/>
        <w:t xml:space="preserve">Stevens’ opinion </w:t>
      </w:r>
      <w:r w:rsidR="00AC7574">
        <w:rPr>
          <w:rFonts w:ascii="Times New Roman" w:hAnsi="Times New Roman" w:cs="Times New Roman"/>
          <w:iCs/>
          <w:sz w:val="24"/>
          <w:szCs w:val="24"/>
        </w:rPr>
        <w:t>made a second point. The Court will not try to second-guess the judgments of legislative bodies regarding the need or importance of public projects that are the basis for expropriation. Rather, the Court will apply a deferential standard of judicial review that gives legislatures “broad latitude in determining what public needs justify the use of the [expropriation] power.”</w:t>
      </w:r>
      <w:r w:rsidR="00D1705A">
        <w:rPr>
          <w:rStyle w:val="FootnoteReference"/>
          <w:rFonts w:ascii="Times New Roman" w:hAnsi="Times New Roman" w:cs="Times New Roman"/>
          <w:iCs/>
          <w:sz w:val="24"/>
          <w:szCs w:val="24"/>
        </w:rPr>
        <w:footnoteReference w:id="16"/>
      </w:r>
      <w:r w:rsidR="00D1705A">
        <w:rPr>
          <w:rFonts w:ascii="Times New Roman" w:hAnsi="Times New Roman" w:cs="Times New Roman"/>
          <w:iCs/>
          <w:sz w:val="24"/>
          <w:szCs w:val="24"/>
        </w:rPr>
        <w:t xml:space="preserve"> </w:t>
      </w:r>
      <w:r w:rsidR="002D21CD">
        <w:rPr>
          <w:rFonts w:ascii="Times New Roman" w:hAnsi="Times New Roman" w:cs="Times New Roman"/>
          <w:iCs/>
          <w:sz w:val="24"/>
          <w:szCs w:val="24"/>
        </w:rPr>
        <w:t>In the instant case the city of New London had, Justice Stevens said, “carefully formulated an economic development plan that it believe[d] w[</w:t>
      </w:r>
      <w:proofErr w:type="spellStart"/>
      <w:r w:rsidR="002D21CD">
        <w:rPr>
          <w:rFonts w:ascii="Times New Roman" w:hAnsi="Times New Roman" w:cs="Times New Roman"/>
          <w:iCs/>
          <w:sz w:val="24"/>
          <w:szCs w:val="24"/>
        </w:rPr>
        <w:t>ould</w:t>
      </w:r>
      <w:proofErr w:type="spellEnd"/>
      <w:r w:rsidR="002D21CD">
        <w:rPr>
          <w:rFonts w:ascii="Times New Roman" w:hAnsi="Times New Roman" w:cs="Times New Roman"/>
          <w:iCs/>
          <w:sz w:val="24"/>
          <w:szCs w:val="24"/>
        </w:rPr>
        <w:t>] bring appreciable benefits to the community, including ─ but by no means limited to ─ new jobs and increased tax revenue.”</w:t>
      </w:r>
      <w:r w:rsidR="002D21CD">
        <w:rPr>
          <w:rStyle w:val="FootnoteReference"/>
          <w:rFonts w:ascii="Times New Roman" w:hAnsi="Times New Roman" w:cs="Times New Roman"/>
          <w:iCs/>
          <w:sz w:val="24"/>
          <w:szCs w:val="24"/>
        </w:rPr>
        <w:footnoteReference w:id="17"/>
      </w:r>
      <w:r w:rsidR="009571E7">
        <w:rPr>
          <w:rFonts w:ascii="Times New Roman" w:hAnsi="Times New Roman" w:cs="Times New Roman"/>
          <w:iCs/>
          <w:sz w:val="24"/>
          <w:szCs w:val="24"/>
        </w:rPr>
        <w:t xml:space="preserve"> In view of the plan’s comprehensive character and the “thorough deliberation” leading up to the plan’s formulation, the Court deemed it appropriate to resolve challenge to the plan in its entirety rather than piecemeal by looking at each owner’s land in isolation.</w:t>
      </w:r>
      <w:r w:rsidR="00290748">
        <w:rPr>
          <w:rStyle w:val="FootnoteReference"/>
          <w:rFonts w:ascii="Times New Roman" w:hAnsi="Times New Roman" w:cs="Times New Roman"/>
          <w:iCs/>
          <w:sz w:val="24"/>
          <w:szCs w:val="24"/>
        </w:rPr>
        <w:footnoteReference w:id="18"/>
      </w:r>
    </w:p>
    <w:p w:rsidR="00CB00C4" w:rsidRDefault="00CB00C4" w:rsidP="00E47E1B">
      <w:pPr>
        <w:pStyle w:val="NoSpacing"/>
        <w:rPr>
          <w:rFonts w:ascii="Times New Roman" w:hAnsi="Times New Roman" w:cs="Times New Roman"/>
          <w:iCs/>
          <w:sz w:val="24"/>
          <w:szCs w:val="24"/>
        </w:rPr>
      </w:pPr>
    </w:p>
    <w:p w:rsidR="00CB00C4" w:rsidRDefault="00CB00C4" w:rsidP="00E47E1B">
      <w:pPr>
        <w:pStyle w:val="NoSpacing"/>
        <w:rPr>
          <w:rFonts w:ascii="Times New Roman" w:hAnsi="Times New Roman" w:cs="Times New Roman"/>
          <w:iCs/>
          <w:sz w:val="24"/>
          <w:szCs w:val="24"/>
        </w:rPr>
      </w:pPr>
      <w:r>
        <w:rPr>
          <w:rFonts w:ascii="Times New Roman" w:hAnsi="Times New Roman" w:cs="Times New Roman"/>
          <w:iCs/>
          <w:sz w:val="24"/>
          <w:szCs w:val="24"/>
        </w:rPr>
        <w:tab/>
        <w:t xml:space="preserve">Justice Stevens </w:t>
      </w:r>
      <w:r w:rsidR="004C32C3">
        <w:rPr>
          <w:rFonts w:ascii="Times New Roman" w:hAnsi="Times New Roman" w:cs="Times New Roman"/>
          <w:iCs/>
          <w:sz w:val="24"/>
          <w:szCs w:val="24"/>
        </w:rPr>
        <w:t xml:space="preserve">was </w:t>
      </w:r>
      <w:r>
        <w:rPr>
          <w:rFonts w:ascii="Times New Roman" w:hAnsi="Times New Roman" w:cs="Times New Roman"/>
          <w:iCs/>
          <w:sz w:val="24"/>
          <w:szCs w:val="24"/>
        </w:rPr>
        <w:t xml:space="preserve">hardly the only voice on the Court to express an opinion in </w:t>
      </w:r>
      <w:proofErr w:type="spellStart"/>
      <w:r w:rsidRPr="00CB00C4">
        <w:rPr>
          <w:rFonts w:ascii="Times New Roman" w:hAnsi="Times New Roman" w:cs="Times New Roman"/>
          <w:i/>
          <w:iCs/>
          <w:sz w:val="24"/>
          <w:szCs w:val="24"/>
        </w:rPr>
        <w:t>Kelo</w:t>
      </w:r>
      <w:proofErr w:type="spellEnd"/>
      <w:r>
        <w:rPr>
          <w:rFonts w:ascii="Times New Roman" w:hAnsi="Times New Roman" w:cs="Times New Roman"/>
          <w:iCs/>
          <w:sz w:val="24"/>
          <w:szCs w:val="24"/>
        </w:rPr>
        <w:t>. Justice O’Connor wrote a dissenting opinion</w:t>
      </w:r>
      <w:r w:rsidR="00F02EC5">
        <w:rPr>
          <w:rFonts w:ascii="Times New Roman" w:hAnsi="Times New Roman" w:cs="Times New Roman"/>
          <w:iCs/>
          <w:sz w:val="24"/>
          <w:szCs w:val="24"/>
        </w:rPr>
        <w:t xml:space="preserve"> </w:t>
      </w:r>
      <w:r w:rsidR="00293D6E">
        <w:rPr>
          <w:rFonts w:ascii="Times New Roman" w:hAnsi="Times New Roman" w:cs="Times New Roman"/>
          <w:iCs/>
          <w:sz w:val="24"/>
          <w:szCs w:val="24"/>
        </w:rPr>
        <w:t>expressing the view that any expropriation for the purpose of economic development is not a public use. Th</w:t>
      </w:r>
      <w:r w:rsidR="00F02EC5">
        <w:rPr>
          <w:rFonts w:ascii="Times New Roman" w:hAnsi="Times New Roman" w:cs="Times New Roman"/>
          <w:iCs/>
          <w:sz w:val="24"/>
          <w:szCs w:val="24"/>
        </w:rPr>
        <w:t>e public benefits from economic development</w:t>
      </w:r>
      <w:r w:rsidR="00293D6E">
        <w:rPr>
          <w:rFonts w:ascii="Times New Roman" w:hAnsi="Times New Roman" w:cs="Times New Roman"/>
          <w:iCs/>
          <w:sz w:val="24"/>
          <w:szCs w:val="24"/>
        </w:rPr>
        <w:t>, she contended,</w:t>
      </w:r>
      <w:r w:rsidR="00F02EC5">
        <w:rPr>
          <w:rFonts w:ascii="Times New Roman" w:hAnsi="Times New Roman" w:cs="Times New Roman"/>
          <w:iCs/>
          <w:sz w:val="24"/>
          <w:szCs w:val="24"/>
        </w:rPr>
        <w:t xml:space="preserve"> </w:t>
      </w:r>
      <w:r w:rsidR="00293D6E">
        <w:rPr>
          <w:rFonts w:ascii="Times New Roman" w:hAnsi="Times New Roman" w:cs="Times New Roman"/>
          <w:iCs/>
          <w:sz w:val="24"/>
          <w:szCs w:val="24"/>
        </w:rPr>
        <w:t>ar</w:t>
      </w:r>
      <w:r w:rsidR="00F02EC5">
        <w:rPr>
          <w:rFonts w:ascii="Times New Roman" w:hAnsi="Times New Roman" w:cs="Times New Roman"/>
          <w:iCs/>
          <w:sz w:val="24"/>
          <w:szCs w:val="24"/>
        </w:rPr>
        <w:t>e incidental only and insufficient to constitute a public use.</w:t>
      </w:r>
      <w:r w:rsidR="0033503C">
        <w:rPr>
          <w:rStyle w:val="FootnoteReference"/>
          <w:rFonts w:ascii="Times New Roman" w:hAnsi="Times New Roman" w:cs="Times New Roman"/>
          <w:iCs/>
          <w:sz w:val="24"/>
          <w:szCs w:val="24"/>
        </w:rPr>
        <w:footnoteReference w:id="19"/>
      </w:r>
      <w:r w:rsidR="00293D6E">
        <w:rPr>
          <w:rFonts w:ascii="Times New Roman" w:hAnsi="Times New Roman" w:cs="Times New Roman"/>
          <w:iCs/>
          <w:sz w:val="24"/>
          <w:szCs w:val="24"/>
        </w:rPr>
        <w:t xml:space="preserve"> </w:t>
      </w:r>
      <w:r w:rsidR="00AA58E0">
        <w:rPr>
          <w:rFonts w:ascii="Times New Roman" w:hAnsi="Times New Roman" w:cs="Times New Roman"/>
          <w:iCs/>
          <w:sz w:val="24"/>
          <w:szCs w:val="24"/>
        </w:rPr>
        <w:t>In her view the Court’s approach to the public-use requirement is far too broad. She reads the majority opinion to hold that “the sovereign may take private property currently put to ordinary private use, and give it over for new, ordinary private use, so long as the new use is predicted to generate some secondary benefit for the public ─ such as increased tax revenue, more jobs, maybe even esthetic pleasure.”</w:t>
      </w:r>
      <w:r w:rsidR="00AA58E0">
        <w:rPr>
          <w:rStyle w:val="FootnoteReference"/>
          <w:rFonts w:ascii="Times New Roman" w:hAnsi="Times New Roman" w:cs="Times New Roman"/>
          <w:iCs/>
          <w:sz w:val="24"/>
          <w:szCs w:val="24"/>
        </w:rPr>
        <w:footnoteReference w:id="20"/>
      </w:r>
      <w:r w:rsidR="00AA58E0">
        <w:rPr>
          <w:rFonts w:ascii="Times New Roman" w:hAnsi="Times New Roman" w:cs="Times New Roman"/>
          <w:iCs/>
          <w:sz w:val="24"/>
          <w:szCs w:val="24"/>
        </w:rPr>
        <w:t xml:space="preserve"> </w:t>
      </w:r>
      <w:r w:rsidR="00DE4AA3">
        <w:rPr>
          <w:rFonts w:ascii="Times New Roman" w:hAnsi="Times New Roman" w:cs="Times New Roman"/>
          <w:iCs/>
          <w:sz w:val="24"/>
          <w:szCs w:val="24"/>
        </w:rPr>
        <w:t>The danger posed by that holding, she asserted, is that “nearly any lawful use of real private property can be said to generate some incidental benefit to the public.”</w:t>
      </w:r>
      <w:r w:rsidR="00DE4AA3">
        <w:rPr>
          <w:rStyle w:val="FootnoteReference"/>
          <w:rFonts w:ascii="Times New Roman" w:hAnsi="Times New Roman" w:cs="Times New Roman"/>
          <w:iCs/>
          <w:sz w:val="24"/>
          <w:szCs w:val="24"/>
        </w:rPr>
        <w:footnoteReference w:id="21"/>
      </w:r>
      <w:r w:rsidR="00DE4AA3">
        <w:rPr>
          <w:rFonts w:ascii="Times New Roman" w:hAnsi="Times New Roman" w:cs="Times New Roman"/>
          <w:iCs/>
          <w:sz w:val="24"/>
          <w:szCs w:val="24"/>
        </w:rPr>
        <w:t xml:space="preserve"> </w:t>
      </w:r>
      <w:r w:rsidR="00217DC2">
        <w:rPr>
          <w:rFonts w:ascii="Times New Roman" w:hAnsi="Times New Roman" w:cs="Times New Roman"/>
          <w:iCs/>
          <w:sz w:val="24"/>
          <w:szCs w:val="24"/>
        </w:rPr>
        <w:t>The result, in her view, is that “[t]he specter of [expropriation] hangs over all property.” She suggests several possible scenarios: “Nothing is to prevent the State from replacing any Motel 6 [a chain of cheap American motels] with a Ritz-Carlton, any home with a shopping mall, or any farm with a factory.”</w:t>
      </w:r>
      <w:r w:rsidR="00217DC2">
        <w:rPr>
          <w:rStyle w:val="FootnoteReference"/>
          <w:rFonts w:ascii="Times New Roman" w:hAnsi="Times New Roman" w:cs="Times New Roman"/>
          <w:iCs/>
          <w:sz w:val="24"/>
          <w:szCs w:val="24"/>
        </w:rPr>
        <w:footnoteReference w:id="22"/>
      </w:r>
      <w:r w:rsidR="00217DC2">
        <w:rPr>
          <w:rFonts w:ascii="Times New Roman" w:hAnsi="Times New Roman" w:cs="Times New Roman"/>
          <w:iCs/>
          <w:sz w:val="24"/>
          <w:szCs w:val="24"/>
        </w:rPr>
        <w:t xml:space="preserve"> </w:t>
      </w:r>
    </w:p>
    <w:p w:rsidR="00782138" w:rsidRDefault="00782138" w:rsidP="00E47E1B">
      <w:pPr>
        <w:pStyle w:val="NoSpacing"/>
        <w:rPr>
          <w:rFonts w:ascii="Times New Roman" w:hAnsi="Times New Roman" w:cs="Times New Roman"/>
          <w:iCs/>
          <w:sz w:val="24"/>
          <w:szCs w:val="24"/>
        </w:rPr>
      </w:pPr>
    </w:p>
    <w:p w:rsidR="00782138" w:rsidRDefault="00782138" w:rsidP="00E47E1B">
      <w:pPr>
        <w:pStyle w:val="NoSpacing"/>
        <w:rPr>
          <w:rFonts w:ascii="Times New Roman" w:hAnsi="Times New Roman" w:cs="Times New Roman"/>
          <w:iCs/>
          <w:sz w:val="24"/>
          <w:szCs w:val="24"/>
        </w:rPr>
      </w:pPr>
      <w:r>
        <w:rPr>
          <w:rFonts w:ascii="Times New Roman" w:hAnsi="Times New Roman" w:cs="Times New Roman"/>
          <w:iCs/>
          <w:sz w:val="24"/>
          <w:szCs w:val="24"/>
        </w:rPr>
        <w:tab/>
      </w:r>
      <w:proofErr w:type="spellStart"/>
      <w:r w:rsidRPr="00782138">
        <w:rPr>
          <w:rFonts w:ascii="Times New Roman" w:hAnsi="Times New Roman" w:cs="Times New Roman"/>
          <w:i/>
          <w:iCs/>
          <w:sz w:val="24"/>
          <w:szCs w:val="24"/>
        </w:rPr>
        <w:t>Kelo</w:t>
      </w:r>
      <w:proofErr w:type="spellEnd"/>
      <w:r>
        <w:rPr>
          <w:rFonts w:ascii="Times New Roman" w:hAnsi="Times New Roman" w:cs="Times New Roman"/>
          <w:iCs/>
          <w:sz w:val="24"/>
          <w:szCs w:val="24"/>
        </w:rPr>
        <w:t xml:space="preserve"> is an appropriate case to use as a vehicle for rethinking the public-use requirement and expropriation of land more broadly. </w:t>
      </w:r>
      <w:r w:rsidR="00CE73EE">
        <w:rPr>
          <w:rFonts w:ascii="Times New Roman" w:hAnsi="Times New Roman" w:cs="Times New Roman"/>
          <w:iCs/>
          <w:sz w:val="24"/>
          <w:szCs w:val="24"/>
        </w:rPr>
        <w:t xml:space="preserve">It is useful in this respect for two reasons. First, it poses a particularly difficult set of circumstances for the public-use test: It is a case in which the state plans to expropriate land from one private owner and give it to another private owner, or, in short, to take from </w:t>
      </w:r>
      <w:r w:rsidR="00CE73EE" w:rsidRPr="00CE73EE">
        <w:rPr>
          <w:rFonts w:ascii="Times New Roman" w:hAnsi="Times New Roman" w:cs="Times New Roman"/>
          <w:i/>
          <w:iCs/>
          <w:sz w:val="24"/>
          <w:szCs w:val="24"/>
        </w:rPr>
        <w:t>A</w:t>
      </w:r>
      <w:r w:rsidR="00CE73EE">
        <w:rPr>
          <w:rFonts w:ascii="Times New Roman" w:hAnsi="Times New Roman" w:cs="Times New Roman"/>
          <w:iCs/>
          <w:sz w:val="24"/>
          <w:szCs w:val="24"/>
        </w:rPr>
        <w:t xml:space="preserve"> and give to </w:t>
      </w:r>
      <w:r w:rsidR="00CE73EE" w:rsidRPr="00CE73EE">
        <w:rPr>
          <w:rFonts w:ascii="Times New Roman" w:hAnsi="Times New Roman" w:cs="Times New Roman"/>
          <w:i/>
          <w:iCs/>
          <w:sz w:val="24"/>
          <w:szCs w:val="24"/>
        </w:rPr>
        <w:t>B</w:t>
      </w:r>
      <w:r w:rsidR="00CE73EE">
        <w:rPr>
          <w:rFonts w:ascii="Times New Roman" w:hAnsi="Times New Roman" w:cs="Times New Roman"/>
          <w:iCs/>
          <w:sz w:val="24"/>
          <w:szCs w:val="24"/>
        </w:rPr>
        <w:t xml:space="preserve">. </w:t>
      </w:r>
      <w:r w:rsidR="00042BF6">
        <w:rPr>
          <w:rFonts w:ascii="Times New Roman" w:hAnsi="Times New Roman" w:cs="Times New Roman"/>
          <w:iCs/>
          <w:sz w:val="24"/>
          <w:szCs w:val="24"/>
        </w:rPr>
        <w:t xml:space="preserve">Second, the Court’s legal analysis in </w:t>
      </w:r>
      <w:proofErr w:type="spellStart"/>
      <w:r w:rsidR="00042BF6" w:rsidRPr="00042BF6">
        <w:rPr>
          <w:rFonts w:ascii="Times New Roman" w:hAnsi="Times New Roman" w:cs="Times New Roman"/>
          <w:i/>
          <w:iCs/>
          <w:sz w:val="24"/>
          <w:szCs w:val="24"/>
        </w:rPr>
        <w:t>Kelo</w:t>
      </w:r>
      <w:proofErr w:type="spellEnd"/>
      <w:r w:rsidR="00042BF6">
        <w:rPr>
          <w:rFonts w:ascii="Times New Roman" w:hAnsi="Times New Roman" w:cs="Times New Roman"/>
          <w:iCs/>
          <w:sz w:val="24"/>
          <w:szCs w:val="24"/>
        </w:rPr>
        <w:t xml:space="preserve"> clearly exposes the character of American judicial reasoning in expropriation cases and its defects. Those defects become most clearly evident when the </w:t>
      </w:r>
      <w:proofErr w:type="spellStart"/>
      <w:r w:rsidR="00042BF6" w:rsidRPr="00042BF6">
        <w:rPr>
          <w:rFonts w:ascii="Times New Roman" w:hAnsi="Times New Roman" w:cs="Times New Roman"/>
          <w:i/>
          <w:iCs/>
          <w:sz w:val="24"/>
          <w:szCs w:val="24"/>
        </w:rPr>
        <w:t>Kelo</w:t>
      </w:r>
      <w:proofErr w:type="spellEnd"/>
      <w:r w:rsidR="00042BF6">
        <w:rPr>
          <w:rFonts w:ascii="Times New Roman" w:hAnsi="Times New Roman" w:cs="Times New Roman"/>
          <w:iCs/>
          <w:sz w:val="24"/>
          <w:szCs w:val="24"/>
        </w:rPr>
        <w:t xml:space="preserve"> reasoning is compared with judicial reasoning used by other nation-states, in particular, the German Constitutional Court. </w:t>
      </w:r>
    </w:p>
    <w:p w:rsidR="00EF59AB" w:rsidRDefault="00EF59AB" w:rsidP="00E47E1B">
      <w:pPr>
        <w:pStyle w:val="NoSpacing"/>
        <w:rPr>
          <w:rFonts w:ascii="Times New Roman" w:hAnsi="Times New Roman" w:cs="Times New Roman"/>
          <w:iCs/>
          <w:sz w:val="24"/>
          <w:szCs w:val="24"/>
        </w:rPr>
      </w:pPr>
    </w:p>
    <w:p w:rsidR="00AA58E0" w:rsidRDefault="007C5839" w:rsidP="00E47E1B">
      <w:pPr>
        <w:pStyle w:val="NoSpacing"/>
        <w:rPr>
          <w:rFonts w:ascii="Times New Roman" w:hAnsi="Times New Roman" w:cs="Times New Roman"/>
          <w:iCs/>
          <w:sz w:val="24"/>
          <w:szCs w:val="24"/>
        </w:rPr>
      </w:pPr>
      <w:r>
        <w:rPr>
          <w:rFonts w:ascii="Times New Roman" w:hAnsi="Times New Roman" w:cs="Times New Roman"/>
          <w:iCs/>
          <w:sz w:val="24"/>
          <w:szCs w:val="24"/>
        </w:rPr>
        <w:lastRenderedPageBreak/>
        <w:tab/>
      </w:r>
      <w:r w:rsidR="002D3CC4">
        <w:rPr>
          <w:rFonts w:ascii="Times New Roman" w:hAnsi="Times New Roman" w:cs="Times New Roman"/>
          <w:iCs/>
          <w:sz w:val="24"/>
          <w:szCs w:val="24"/>
        </w:rPr>
        <w:t xml:space="preserve">Cases that involve taking from </w:t>
      </w:r>
      <w:r w:rsidR="002D3CC4" w:rsidRPr="007C5839">
        <w:rPr>
          <w:rFonts w:ascii="Times New Roman" w:hAnsi="Times New Roman" w:cs="Times New Roman"/>
          <w:i/>
          <w:iCs/>
          <w:sz w:val="24"/>
          <w:szCs w:val="24"/>
        </w:rPr>
        <w:t>A</w:t>
      </w:r>
      <w:r w:rsidR="002D3CC4">
        <w:rPr>
          <w:rFonts w:ascii="Times New Roman" w:hAnsi="Times New Roman" w:cs="Times New Roman"/>
          <w:iCs/>
          <w:sz w:val="24"/>
          <w:szCs w:val="24"/>
        </w:rPr>
        <w:t xml:space="preserve"> and giving to </w:t>
      </w:r>
      <w:r w:rsidR="002D3CC4" w:rsidRPr="007C5839">
        <w:rPr>
          <w:rFonts w:ascii="Times New Roman" w:hAnsi="Times New Roman" w:cs="Times New Roman"/>
          <w:i/>
          <w:iCs/>
          <w:sz w:val="24"/>
          <w:szCs w:val="24"/>
        </w:rPr>
        <w:t>B</w:t>
      </w:r>
      <w:r w:rsidR="002D3CC4">
        <w:rPr>
          <w:rFonts w:ascii="Times New Roman" w:hAnsi="Times New Roman" w:cs="Times New Roman"/>
          <w:iCs/>
          <w:sz w:val="24"/>
          <w:szCs w:val="24"/>
        </w:rPr>
        <w:t xml:space="preserve"> are especially troublesome for </w:t>
      </w:r>
      <w:r>
        <w:rPr>
          <w:rFonts w:ascii="Times New Roman" w:hAnsi="Times New Roman" w:cs="Times New Roman"/>
          <w:iCs/>
          <w:sz w:val="24"/>
          <w:szCs w:val="24"/>
        </w:rPr>
        <w:t xml:space="preserve">the </w:t>
      </w:r>
      <w:r w:rsidR="002D3CC4">
        <w:rPr>
          <w:rFonts w:ascii="Times New Roman" w:hAnsi="Times New Roman" w:cs="Times New Roman"/>
          <w:iCs/>
          <w:sz w:val="24"/>
          <w:szCs w:val="24"/>
        </w:rPr>
        <w:t>public</w:t>
      </w:r>
      <w:r>
        <w:rPr>
          <w:rFonts w:ascii="Times New Roman" w:hAnsi="Times New Roman" w:cs="Times New Roman"/>
          <w:iCs/>
          <w:sz w:val="24"/>
          <w:szCs w:val="24"/>
        </w:rPr>
        <w:t>-</w:t>
      </w:r>
      <w:r w:rsidR="002D3CC4">
        <w:rPr>
          <w:rFonts w:ascii="Times New Roman" w:hAnsi="Times New Roman" w:cs="Times New Roman"/>
          <w:iCs/>
          <w:sz w:val="24"/>
          <w:szCs w:val="24"/>
        </w:rPr>
        <w:t xml:space="preserve">use </w:t>
      </w:r>
      <w:r>
        <w:rPr>
          <w:rFonts w:ascii="Times New Roman" w:hAnsi="Times New Roman" w:cs="Times New Roman"/>
          <w:iCs/>
          <w:sz w:val="24"/>
          <w:szCs w:val="24"/>
        </w:rPr>
        <w:t>requirement for the obvious reason that the benefit seems purely private. The German Constitutional Court has faced the question whether the public use, or public interest, requirement,</w:t>
      </w:r>
      <w:r>
        <w:rPr>
          <w:rStyle w:val="FootnoteReference"/>
          <w:rFonts w:ascii="Times New Roman" w:hAnsi="Times New Roman" w:cs="Times New Roman"/>
          <w:iCs/>
          <w:sz w:val="24"/>
          <w:szCs w:val="24"/>
        </w:rPr>
        <w:footnoteReference w:id="23"/>
      </w:r>
      <w:r>
        <w:rPr>
          <w:rFonts w:ascii="Times New Roman" w:hAnsi="Times New Roman" w:cs="Times New Roman"/>
          <w:iCs/>
          <w:sz w:val="24"/>
          <w:szCs w:val="24"/>
        </w:rPr>
        <w:t xml:space="preserve"> can be met where </w:t>
      </w:r>
      <w:r w:rsidRPr="007C5839">
        <w:rPr>
          <w:rFonts w:ascii="Times New Roman" w:hAnsi="Times New Roman" w:cs="Times New Roman"/>
          <w:i/>
          <w:iCs/>
          <w:sz w:val="24"/>
          <w:szCs w:val="24"/>
        </w:rPr>
        <w:t>B</w:t>
      </w:r>
      <w:r>
        <w:rPr>
          <w:rFonts w:ascii="Times New Roman" w:hAnsi="Times New Roman" w:cs="Times New Roman"/>
          <w:iCs/>
          <w:sz w:val="24"/>
          <w:szCs w:val="24"/>
        </w:rPr>
        <w:t>, the ultimate recipient, would profit from the expropriation</w:t>
      </w:r>
      <w:r w:rsidR="00006904">
        <w:rPr>
          <w:rFonts w:ascii="Times New Roman" w:hAnsi="Times New Roman" w:cs="Times New Roman"/>
          <w:iCs/>
          <w:sz w:val="24"/>
          <w:szCs w:val="24"/>
        </w:rPr>
        <w:t>, and its approach is illuminating</w:t>
      </w:r>
      <w:r>
        <w:rPr>
          <w:rFonts w:ascii="Times New Roman" w:hAnsi="Times New Roman" w:cs="Times New Roman"/>
          <w:iCs/>
          <w:sz w:val="24"/>
          <w:szCs w:val="24"/>
        </w:rPr>
        <w:t>.</w:t>
      </w:r>
      <w:r w:rsidR="00672856">
        <w:rPr>
          <w:rFonts w:ascii="Times New Roman" w:hAnsi="Times New Roman" w:cs="Times New Roman"/>
          <w:iCs/>
          <w:sz w:val="24"/>
          <w:szCs w:val="24"/>
        </w:rPr>
        <w:t xml:space="preserve"> The Court has held that the fact of private profit alone does not prevent the public interest requirement from being met.</w:t>
      </w:r>
      <w:r w:rsidR="00672856">
        <w:rPr>
          <w:rStyle w:val="FootnoteReference"/>
          <w:rFonts w:ascii="Times New Roman" w:hAnsi="Times New Roman" w:cs="Times New Roman"/>
          <w:iCs/>
          <w:sz w:val="24"/>
          <w:szCs w:val="24"/>
        </w:rPr>
        <w:footnoteReference w:id="24"/>
      </w:r>
      <w:r w:rsidR="00672856">
        <w:rPr>
          <w:rFonts w:ascii="Times New Roman" w:hAnsi="Times New Roman" w:cs="Times New Roman"/>
          <w:iCs/>
          <w:sz w:val="24"/>
          <w:szCs w:val="24"/>
        </w:rPr>
        <w:t xml:space="preserve"> The case involved expropriation of land for the p</w:t>
      </w:r>
      <w:r w:rsidR="0045038D">
        <w:rPr>
          <w:rFonts w:ascii="Times New Roman" w:hAnsi="Times New Roman" w:cs="Times New Roman"/>
          <w:iCs/>
          <w:sz w:val="24"/>
          <w:szCs w:val="24"/>
        </w:rPr>
        <w:t xml:space="preserve">urpose of providing electricity. Following expropriation, the state gave the land to a private firm which supplied electricity to its customers with whom it had a contractual relationship. This seems to be an easier case than </w:t>
      </w:r>
      <w:proofErr w:type="spellStart"/>
      <w:r w:rsidR="0045038D" w:rsidRPr="0045038D">
        <w:rPr>
          <w:rFonts w:ascii="Times New Roman" w:hAnsi="Times New Roman" w:cs="Times New Roman"/>
          <w:i/>
          <w:iCs/>
          <w:sz w:val="24"/>
          <w:szCs w:val="24"/>
        </w:rPr>
        <w:t>Kelo</w:t>
      </w:r>
      <w:proofErr w:type="spellEnd"/>
      <w:r w:rsidR="0045038D">
        <w:rPr>
          <w:rFonts w:ascii="Times New Roman" w:hAnsi="Times New Roman" w:cs="Times New Roman"/>
          <w:iCs/>
          <w:sz w:val="24"/>
          <w:szCs w:val="24"/>
        </w:rPr>
        <w:t xml:space="preserve"> because the ultimate use of the land ─ supplying electricity ─ is a function traditionally performed by public utilities. In this sense the recipient of the land, although a private firm, is a quasi-public entity. The same can hardly be said of the circumstances in </w:t>
      </w:r>
      <w:proofErr w:type="spellStart"/>
      <w:r w:rsidR="0045038D" w:rsidRPr="00D716ED">
        <w:rPr>
          <w:rFonts w:ascii="Times New Roman" w:hAnsi="Times New Roman" w:cs="Times New Roman"/>
          <w:i/>
          <w:iCs/>
          <w:sz w:val="24"/>
          <w:szCs w:val="24"/>
        </w:rPr>
        <w:t>Kelo</w:t>
      </w:r>
      <w:proofErr w:type="spellEnd"/>
      <w:r w:rsidR="0045038D">
        <w:rPr>
          <w:rFonts w:ascii="Times New Roman" w:hAnsi="Times New Roman" w:cs="Times New Roman"/>
          <w:iCs/>
          <w:sz w:val="24"/>
          <w:szCs w:val="24"/>
        </w:rPr>
        <w:t>, where</w:t>
      </w:r>
      <w:r w:rsidR="00D716ED">
        <w:rPr>
          <w:rFonts w:ascii="Times New Roman" w:hAnsi="Times New Roman" w:cs="Times New Roman"/>
          <w:iCs/>
          <w:sz w:val="24"/>
          <w:szCs w:val="24"/>
        </w:rPr>
        <w:t xml:space="preserve"> </w:t>
      </w:r>
      <w:r w:rsidR="005D1D02">
        <w:rPr>
          <w:rFonts w:ascii="Times New Roman" w:hAnsi="Times New Roman" w:cs="Times New Roman"/>
          <w:iCs/>
          <w:sz w:val="24"/>
          <w:szCs w:val="24"/>
        </w:rPr>
        <w:t xml:space="preserve">the expropriated land was to be used for building hotels, apartments, stores ─ strictly private activities. </w:t>
      </w:r>
      <w:r w:rsidR="00E80B3B">
        <w:rPr>
          <w:rFonts w:ascii="Times New Roman" w:hAnsi="Times New Roman" w:cs="Times New Roman"/>
          <w:iCs/>
          <w:sz w:val="24"/>
          <w:szCs w:val="24"/>
        </w:rPr>
        <w:t xml:space="preserve">From this perspective it becomes easier to understand why Justice O’Connor characterized the public benefits of increasing jobs and raising revenue as “strictly incidental.” </w:t>
      </w:r>
      <w:r w:rsidR="003E1A60">
        <w:rPr>
          <w:rFonts w:ascii="Times New Roman" w:hAnsi="Times New Roman" w:cs="Times New Roman"/>
          <w:iCs/>
          <w:sz w:val="24"/>
          <w:szCs w:val="24"/>
        </w:rPr>
        <w:t xml:space="preserve">The question in </w:t>
      </w:r>
      <w:proofErr w:type="spellStart"/>
      <w:r w:rsidR="003E1A60" w:rsidRPr="003E1A60">
        <w:rPr>
          <w:rFonts w:ascii="Times New Roman" w:hAnsi="Times New Roman" w:cs="Times New Roman"/>
          <w:i/>
          <w:iCs/>
          <w:sz w:val="24"/>
          <w:szCs w:val="24"/>
        </w:rPr>
        <w:t>Kelo</w:t>
      </w:r>
      <w:proofErr w:type="spellEnd"/>
      <w:r w:rsidR="003E1A60">
        <w:rPr>
          <w:rFonts w:ascii="Times New Roman" w:hAnsi="Times New Roman" w:cs="Times New Roman"/>
          <w:iCs/>
          <w:sz w:val="24"/>
          <w:szCs w:val="24"/>
        </w:rPr>
        <w:t>, then, boils down to whether increasing jobs and taxes have a sufficiently public character to constitute a “public use.”</w:t>
      </w:r>
      <w:r w:rsidR="00C2468D">
        <w:rPr>
          <w:rFonts w:ascii="Times New Roman" w:hAnsi="Times New Roman" w:cs="Times New Roman"/>
          <w:iCs/>
          <w:sz w:val="24"/>
          <w:szCs w:val="24"/>
        </w:rPr>
        <w:t xml:space="preserve"> The German court has faced that question as well, reaching a different result than its American counterpart. In the </w:t>
      </w:r>
      <w:proofErr w:type="spellStart"/>
      <w:r w:rsidR="00C2468D" w:rsidRPr="00C2468D">
        <w:rPr>
          <w:rFonts w:ascii="Times New Roman" w:hAnsi="Times New Roman" w:cs="Times New Roman"/>
          <w:i/>
          <w:iCs/>
          <w:sz w:val="24"/>
          <w:szCs w:val="24"/>
        </w:rPr>
        <w:t>Boxberg</w:t>
      </w:r>
      <w:proofErr w:type="spellEnd"/>
      <w:r w:rsidR="00C2468D">
        <w:rPr>
          <w:rFonts w:ascii="Times New Roman" w:hAnsi="Times New Roman" w:cs="Times New Roman"/>
          <w:iCs/>
          <w:sz w:val="24"/>
          <w:szCs w:val="24"/>
        </w:rPr>
        <w:t xml:space="preserve"> case</w:t>
      </w:r>
      <w:r w:rsidR="007D65C1">
        <w:rPr>
          <w:rFonts w:ascii="Times New Roman" w:hAnsi="Times New Roman" w:cs="Times New Roman"/>
          <w:iCs/>
          <w:sz w:val="24"/>
          <w:szCs w:val="24"/>
        </w:rPr>
        <w:t>,</w:t>
      </w:r>
      <w:r w:rsidR="007D65C1">
        <w:rPr>
          <w:rStyle w:val="FootnoteReference"/>
          <w:rFonts w:ascii="Times New Roman" w:hAnsi="Times New Roman" w:cs="Times New Roman"/>
          <w:iCs/>
          <w:sz w:val="24"/>
          <w:szCs w:val="24"/>
        </w:rPr>
        <w:footnoteReference w:id="25"/>
      </w:r>
      <w:r w:rsidR="00C2468D">
        <w:rPr>
          <w:rFonts w:ascii="Times New Roman" w:hAnsi="Times New Roman" w:cs="Times New Roman"/>
          <w:iCs/>
          <w:sz w:val="24"/>
          <w:szCs w:val="24"/>
        </w:rPr>
        <w:t xml:space="preserve"> </w:t>
      </w:r>
      <w:r w:rsidR="007D65C1">
        <w:rPr>
          <w:rFonts w:ascii="Times New Roman" w:hAnsi="Times New Roman" w:cs="Times New Roman"/>
          <w:iCs/>
          <w:sz w:val="24"/>
          <w:szCs w:val="24"/>
        </w:rPr>
        <w:t xml:space="preserve">the state expropriated privately-owned land </w:t>
      </w:r>
      <w:r w:rsidR="00CE25CE">
        <w:rPr>
          <w:rFonts w:ascii="Times New Roman" w:hAnsi="Times New Roman" w:cs="Times New Roman"/>
          <w:iCs/>
          <w:sz w:val="24"/>
          <w:szCs w:val="24"/>
        </w:rPr>
        <w:t xml:space="preserve">for the purpose of transferring it to </w:t>
      </w:r>
      <w:r w:rsidR="00A36670">
        <w:rPr>
          <w:rFonts w:ascii="Times New Roman" w:hAnsi="Times New Roman" w:cs="Times New Roman"/>
          <w:iCs/>
          <w:sz w:val="24"/>
          <w:szCs w:val="24"/>
        </w:rPr>
        <w:t>the Daimler-Benz</w:t>
      </w:r>
      <w:r w:rsidR="00CE25CE">
        <w:rPr>
          <w:rFonts w:ascii="Times New Roman" w:hAnsi="Times New Roman" w:cs="Times New Roman"/>
          <w:iCs/>
          <w:sz w:val="24"/>
          <w:szCs w:val="24"/>
        </w:rPr>
        <w:t xml:space="preserve"> automobile firm that intended to use it as a testing ground for their new cars. The court held that the expropriation was unconstitutional despite the fact that, as in </w:t>
      </w:r>
      <w:proofErr w:type="spellStart"/>
      <w:r w:rsidR="00CE25CE" w:rsidRPr="00CE25CE">
        <w:rPr>
          <w:rFonts w:ascii="Times New Roman" w:hAnsi="Times New Roman" w:cs="Times New Roman"/>
          <w:i/>
          <w:iCs/>
          <w:sz w:val="24"/>
          <w:szCs w:val="24"/>
        </w:rPr>
        <w:t>Kelo</w:t>
      </w:r>
      <w:proofErr w:type="spellEnd"/>
      <w:r w:rsidR="00CE25CE">
        <w:rPr>
          <w:rFonts w:ascii="Times New Roman" w:hAnsi="Times New Roman" w:cs="Times New Roman"/>
          <w:iCs/>
          <w:sz w:val="24"/>
          <w:szCs w:val="24"/>
        </w:rPr>
        <w:t xml:space="preserve">, the intended project would have created much-needed jobs and stimulated the economy in the local region. </w:t>
      </w:r>
      <w:r w:rsidR="00006904">
        <w:rPr>
          <w:rFonts w:ascii="Times New Roman" w:hAnsi="Times New Roman" w:cs="Times New Roman"/>
          <w:iCs/>
          <w:sz w:val="24"/>
          <w:szCs w:val="24"/>
        </w:rPr>
        <w:t>“Condemnation for the benefit of private persons . . . that serves the public interest only indirectly and presents an enhanced danger of abuse to the detriment of the weak poses particular constitutional problems,” the court said.</w:t>
      </w:r>
      <w:r w:rsidR="00006904">
        <w:rPr>
          <w:rStyle w:val="FootnoteReference"/>
          <w:rFonts w:ascii="Times New Roman" w:hAnsi="Times New Roman" w:cs="Times New Roman"/>
          <w:iCs/>
          <w:sz w:val="24"/>
          <w:szCs w:val="24"/>
        </w:rPr>
        <w:footnoteReference w:id="26"/>
      </w:r>
    </w:p>
    <w:p w:rsidR="006172CD" w:rsidRDefault="006172CD" w:rsidP="00E47E1B">
      <w:pPr>
        <w:pStyle w:val="NoSpacing"/>
        <w:rPr>
          <w:rFonts w:ascii="Times New Roman" w:hAnsi="Times New Roman" w:cs="Times New Roman"/>
          <w:iCs/>
          <w:sz w:val="24"/>
          <w:szCs w:val="24"/>
        </w:rPr>
      </w:pPr>
    </w:p>
    <w:p w:rsidR="006172CD" w:rsidRDefault="006172CD" w:rsidP="00E47E1B">
      <w:pPr>
        <w:pStyle w:val="NoSpacing"/>
        <w:rPr>
          <w:rFonts w:ascii="Times New Roman" w:hAnsi="Times New Roman" w:cs="Times New Roman"/>
          <w:iCs/>
          <w:sz w:val="24"/>
          <w:szCs w:val="24"/>
        </w:rPr>
      </w:pPr>
      <w:r>
        <w:rPr>
          <w:rFonts w:ascii="Times New Roman" w:hAnsi="Times New Roman" w:cs="Times New Roman"/>
          <w:iCs/>
          <w:sz w:val="24"/>
          <w:szCs w:val="24"/>
        </w:rPr>
        <w:tab/>
        <w:t xml:space="preserve">The second, more fundamental insight to be gained from studying </w:t>
      </w:r>
      <w:proofErr w:type="spellStart"/>
      <w:r w:rsidRPr="006172CD">
        <w:rPr>
          <w:rFonts w:ascii="Times New Roman" w:hAnsi="Times New Roman" w:cs="Times New Roman"/>
          <w:i/>
          <w:iCs/>
          <w:sz w:val="24"/>
          <w:szCs w:val="24"/>
        </w:rPr>
        <w:t>Kelo</w:t>
      </w:r>
      <w:proofErr w:type="spellEnd"/>
      <w:r>
        <w:rPr>
          <w:rFonts w:ascii="Times New Roman" w:hAnsi="Times New Roman" w:cs="Times New Roman"/>
          <w:iCs/>
          <w:sz w:val="24"/>
          <w:szCs w:val="24"/>
        </w:rPr>
        <w:t xml:space="preserve"> concerns the reasoning by which courts decide whether and when land expropriation is in the public interest. </w:t>
      </w:r>
      <w:r w:rsidR="00EA2314">
        <w:rPr>
          <w:rFonts w:ascii="Times New Roman" w:hAnsi="Times New Roman" w:cs="Times New Roman"/>
          <w:iCs/>
          <w:sz w:val="24"/>
          <w:szCs w:val="24"/>
        </w:rPr>
        <w:t xml:space="preserve">Here a comparison with the German Constitution Court’s mode of reasoning reveals </w:t>
      </w:r>
      <w:proofErr w:type="spellStart"/>
      <w:r w:rsidR="00EA2314" w:rsidRPr="00EA2314">
        <w:rPr>
          <w:rFonts w:ascii="Times New Roman" w:hAnsi="Times New Roman" w:cs="Times New Roman"/>
          <w:i/>
          <w:iCs/>
          <w:sz w:val="24"/>
          <w:szCs w:val="24"/>
        </w:rPr>
        <w:t>Kelo</w:t>
      </w:r>
      <w:r w:rsidR="00EA2314">
        <w:rPr>
          <w:rFonts w:ascii="Times New Roman" w:hAnsi="Times New Roman" w:cs="Times New Roman"/>
          <w:iCs/>
          <w:sz w:val="24"/>
          <w:szCs w:val="24"/>
        </w:rPr>
        <w:t>’s</w:t>
      </w:r>
      <w:proofErr w:type="spellEnd"/>
      <w:r w:rsidR="00EA2314">
        <w:rPr>
          <w:rFonts w:ascii="Times New Roman" w:hAnsi="Times New Roman" w:cs="Times New Roman"/>
          <w:iCs/>
          <w:sz w:val="24"/>
          <w:szCs w:val="24"/>
        </w:rPr>
        <w:t xml:space="preserve"> basic flaw. </w:t>
      </w:r>
      <w:r w:rsidR="00B14844">
        <w:rPr>
          <w:rFonts w:ascii="Times New Roman" w:hAnsi="Times New Roman" w:cs="Times New Roman"/>
          <w:iCs/>
          <w:sz w:val="24"/>
          <w:szCs w:val="24"/>
        </w:rPr>
        <w:t xml:space="preserve">Despite the Court’s discussion of judicial deference to the legislature, the Court in </w:t>
      </w:r>
      <w:proofErr w:type="spellStart"/>
      <w:r w:rsidR="00B14844" w:rsidRPr="00B14844">
        <w:rPr>
          <w:rFonts w:ascii="Times New Roman" w:hAnsi="Times New Roman" w:cs="Times New Roman"/>
          <w:i/>
          <w:iCs/>
          <w:sz w:val="24"/>
          <w:szCs w:val="24"/>
        </w:rPr>
        <w:t>Kelo</w:t>
      </w:r>
      <w:proofErr w:type="spellEnd"/>
      <w:r w:rsidR="00B14844">
        <w:rPr>
          <w:rFonts w:ascii="Times New Roman" w:hAnsi="Times New Roman" w:cs="Times New Roman"/>
          <w:iCs/>
          <w:sz w:val="24"/>
          <w:szCs w:val="24"/>
        </w:rPr>
        <w:t xml:space="preserve"> relied on consequentialist reasoning to reach its decision. </w:t>
      </w:r>
      <w:r w:rsidR="00A37FF3">
        <w:rPr>
          <w:rFonts w:ascii="Times New Roman" w:hAnsi="Times New Roman" w:cs="Times New Roman"/>
          <w:iCs/>
          <w:sz w:val="24"/>
          <w:szCs w:val="24"/>
        </w:rPr>
        <w:t xml:space="preserve"> This is the aspect of the case that bears the greatest scrutiny, for it is the greatest weakness of the American approach to analyzing expropriation cases.</w:t>
      </w:r>
    </w:p>
    <w:p w:rsidR="00A2456B" w:rsidRDefault="00A2456B" w:rsidP="00E47E1B">
      <w:pPr>
        <w:pStyle w:val="NoSpacing"/>
        <w:rPr>
          <w:rFonts w:ascii="Times New Roman" w:hAnsi="Times New Roman" w:cs="Times New Roman"/>
          <w:iCs/>
          <w:sz w:val="24"/>
          <w:szCs w:val="24"/>
        </w:rPr>
      </w:pPr>
    </w:p>
    <w:p w:rsidR="00A2456B" w:rsidRPr="00B52A51" w:rsidRDefault="00A2456B" w:rsidP="00E5583A">
      <w:pPr>
        <w:pStyle w:val="NoSpacing"/>
        <w:jc w:val="center"/>
        <w:rPr>
          <w:rFonts w:ascii="Times New Roman" w:hAnsi="Times New Roman" w:cs="Times New Roman"/>
          <w:b/>
          <w:iCs/>
          <w:smallCaps/>
          <w:sz w:val="24"/>
          <w:szCs w:val="24"/>
        </w:rPr>
      </w:pPr>
      <w:r w:rsidRPr="00B52A51">
        <w:rPr>
          <w:rFonts w:ascii="Times New Roman" w:hAnsi="Times New Roman" w:cs="Times New Roman"/>
          <w:b/>
          <w:iCs/>
          <w:smallCaps/>
          <w:sz w:val="24"/>
          <w:szCs w:val="24"/>
        </w:rPr>
        <w:t>Consequentialist Reasoning</w:t>
      </w:r>
    </w:p>
    <w:p w:rsidR="00A37FF3" w:rsidRPr="00B52A51" w:rsidRDefault="00A37FF3" w:rsidP="00E47E1B">
      <w:pPr>
        <w:pStyle w:val="NoSpacing"/>
        <w:rPr>
          <w:rFonts w:ascii="Times New Roman" w:hAnsi="Times New Roman" w:cs="Times New Roman"/>
          <w:iCs/>
          <w:smallCaps/>
          <w:sz w:val="24"/>
          <w:szCs w:val="24"/>
        </w:rPr>
      </w:pPr>
    </w:p>
    <w:p w:rsidR="00A37FF3" w:rsidRDefault="00EF4D10" w:rsidP="00E47E1B">
      <w:pPr>
        <w:pStyle w:val="NoSpacing"/>
        <w:rPr>
          <w:rFonts w:ascii="Times New Roman" w:hAnsi="Times New Roman" w:cs="Times New Roman"/>
          <w:iCs/>
          <w:sz w:val="24"/>
          <w:szCs w:val="24"/>
        </w:rPr>
      </w:pPr>
      <w:r>
        <w:rPr>
          <w:rFonts w:ascii="Times New Roman" w:hAnsi="Times New Roman" w:cs="Times New Roman"/>
          <w:iCs/>
          <w:sz w:val="24"/>
          <w:szCs w:val="24"/>
        </w:rPr>
        <w:tab/>
      </w:r>
      <w:r w:rsidR="00280A01">
        <w:rPr>
          <w:rFonts w:ascii="Times New Roman" w:hAnsi="Times New Roman" w:cs="Times New Roman"/>
          <w:iCs/>
          <w:sz w:val="24"/>
          <w:szCs w:val="24"/>
        </w:rPr>
        <w:t xml:space="preserve">That the Court relied on consequentialist reasoning in </w:t>
      </w:r>
      <w:proofErr w:type="spellStart"/>
      <w:r w:rsidR="00280A01" w:rsidRPr="00280A01">
        <w:rPr>
          <w:rFonts w:ascii="Times New Roman" w:hAnsi="Times New Roman" w:cs="Times New Roman"/>
          <w:i/>
          <w:iCs/>
          <w:sz w:val="24"/>
          <w:szCs w:val="24"/>
        </w:rPr>
        <w:t>Kelo</w:t>
      </w:r>
      <w:proofErr w:type="spellEnd"/>
      <w:r w:rsidR="00280A01">
        <w:rPr>
          <w:rFonts w:ascii="Times New Roman" w:hAnsi="Times New Roman" w:cs="Times New Roman"/>
          <w:iCs/>
          <w:sz w:val="24"/>
          <w:szCs w:val="24"/>
        </w:rPr>
        <w:t xml:space="preserve"> comes as no surprise. Not only do judicial precedents </w:t>
      </w:r>
      <w:r>
        <w:rPr>
          <w:rFonts w:ascii="Times New Roman" w:hAnsi="Times New Roman" w:cs="Times New Roman"/>
          <w:iCs/>
          <w:sz w:val="24"/>
          <w:szCs w:val="24"/>
        </w:rPr>
        <w:t xml:space="preserve">strictly employ consequentialist reasoning, but the very concept of a public use as a limitation on the scope of the state’s power to expropriate land seems to compel inquiry into the intended effects of state expropriation. </w:t>
      </w:r>
      <w:r w:rsidR="00F843D2">
        <w:rPr>
          <w:rFonts w:ascii="Times New Roman" w:hAnsi="Times New Roman" w:cs="Times New Roman"/>
          <w:iCs/>
          <w:sz w:val="24"/>
          <w:szCs w:val="24"/>
        </w:rPr>
        <w:t xml:space="preserve">The problem is not with consequentialist reasoning as such but with the type or character of the Court’s consequentialist analysis. Consequentialism is not of a piece. There are different modes of consequentialism, and the </w:t>
      </w:r>
      <w:r w:rsidR="00F843D2">
        <w:rPr>
          <w:rFonts w:ascii="Times New Roman" w:hAnsi="Times New Roman" w:cs="Times New Roman"/>
          <w:iCs/>
          <w:sz w:val="24"/>
          <w:szCs w:val="24"/>
        </w:rPr>
        <w:lastRenderedPageBreak/>
        <w:t xml:space="preserve">characteristics that distinguish one form from another make it more or less persuasive, both analytically and normatively. </w:t>
      </w:r>
      <w:r w:rsidR="00F2059B">
        <w:rPr>
          <w:rFonts w:ascii="Times New Roman" w:hAnsi="Times New Roman" w:cs="Times New Roman"/>
          <w:iCs/>
          <w:sz w:val="24"/>
          <w:szCs w:val="24"/>
        </w:rPr>
        <w:t>We need to identify, then, these different modes of consequentialism.</w:t>
      </w:r>
    </w:p>
    <w:p w:rsidR="00F2059B" w:rsidRDefault="00F2059B" w:rsidP="00E47E1B">
      <w:pPr>
        <w:pStyle w:val="NoSpacing"/>
        <w:rPr>
          <w:rFonts w:ascii="Times New Roman" w:hAnsi="Times New Roman" w:cs="Times New Roman"/>
          <w:iCs/>
          <w:sz w:val="24"/>
          <w:szCs w:val="24"/>
        </w:rPr>
      </w:pPr>
    </w:p>
    <w:p w:rsidR="00F2059B" w:rsidRPr="00E5583A" w:rsidRDefault="00A2456B" w:rsidP="00E5583A">
      <w:pPr>
        <w:pStyle w:val="NoSpacing"/>
        <w:jc w:val="center"/>
        <w:rPr>
          <w:rFonts w:ascii="Times New Roman" w:hAnsi="Times New Roman" w:cs="Times New Roman"/>
          <w:iCs/>
          <w:sz w:val="24"/>
          <w:szCs w:val="24"/>
          <w:u w:val="single"/>
        </w:rPr>
      </w:pPr>
      <w:r w:rsidRPr="00E5583A">
        <w:rPr>
          <w:rFonts w:ascii="Times New Roman" w:hAnsi="Times New Roman" w:cs="Times New Roman"/>
          <w:iCs/>
          <w:sz w:val="24"/>
          <w:szCs w:val="24"/>
          <w:u w:val="single"/>
        </w:rPr>
        <w:t>Forms of Consequentialism</w:t>
      </w:r>
    </w:p>
    <w:p w:rsidR="00A2456B" w:rsidRPr="00B52A51" w:rsidRDefault="00A2456B" w:rsidP="00E47E1B">
      <w:pPr>
        <w:pStyle w:val="NoSpacing"/>
        <w:rPr>
          <w:rFonts w:ascii="Times New Roman" w:hAnsi="Times New Roman" w:cs="Times New Roman"/>
          <w:i/>
          <w:iCs/>
          <w:sz w:val="24"/>
          <w:szCs w:val="24"/>
        </w:rPr>
      </w:pPr>
    </w:p>
    <w:p w:rsidR="00A2456B" w:rsidRDefault="005036D2" w:rsidP="00E47E1B">
      <w:pPr>
        <w:pStyle w:val="NoSpacing"/>
        <w:rPr>
          <w:rFonts w:ascii="Times New Roman" w:hAnsi="Times New Roman" w:cs="Times New Roman"/>
          <w:iCs/>
          <w:sz w:val="24"/>
          <w:szCs w:val="24"/>
        </w:rPr>
      </w:pPr>
      <w:r>
        <w:rPr>
          <w:rFonts w:ascii="Times New Roman" w:hAnsi="Times New Roman" w:cs="Times New Roman"/>
          <w:iCs/>
          <w:sz w:val="24"/>
          <w:szCs w:val="24"/>
        </w:rPr>
        <w:tab/>
        <w:t>Stated in its most basic form, consequentialism is the theory of action which holds that in any given situation the right act for people to do is the one that will produce the best possible outcome.</w:t>
      </w:r>
      <w:r>
        <w:rPr>
          <w:rStyle w:val="FootnoteReference"/>
          <w:rFonts w:ascii="Times New Roman" w:hAnsi="Times New Roman" w:cs="Times New Roman"/>
          <w:iCs/>
          <w:sz w:val="24"/>
          <w:szCs w:val="24"/>
        </w:rPr>
        <w:footnoteReference w:id="27"/>
      </w:r>
      <w:r>
        <w:rPr>
          <w:rFonts w:ascii="Times New Roman" w:hAnsi="Times New Roman" w:cs="Times New Roman"/>
          <w:iCs/>
          <w:sz w:val="24"/>
          <w:szCs w:val="24"/>
        </w:rPr>
        <w:t xml:space="preserve"> More precisely, this definition has two parts: (1) </w:t>
      </w:r>
      <w:r w:rsidR="00FF261D">
        <w:rPr>
          <w:rFonts w:ascii="Times New Roman" w:hAnsi="Times New Roman" w:cs="Times New Roman"/>
          <w:iCs/>
          <w:sz w:val="24"/>
          <w:szCs w:val="24"/>
        </w:rPr>
        <w:t>It provides some principle for ranking overall states of affairs from an impersonal point of view; (2) It then asserts that in any given situation the right course of action to take is the one that will produce the highest ranked state of affairs that the actor is capable of producing.</w:t>
      </w:r>
      <w:r w:rsidR="00FF261D">
        <w:rPr>
          <w:rStyle w:val="FootnoteReference"/>
          <w:rFonts w:ascii="Times New Roman" w:hAnsi="Times New Roman" w:cs="Times New Roman"/>
          <w:iCs/>
          <w:sz w:val="24"/>
          <w:szCs w:val="24"/>
        </w:rPr>
        <w:footnoteReference w:id="28"/>
      </w:r>
      <w:r w:rsidR="00FF261D">
        <w:rPr>
          <w:rFonts w:ascii="Times New Roman" w:hAnsi="Times New Roman" w:cs="Times New Roman"/>
          <w:iCs/>
          <w:sz w:val="24"/>
          <w:szCs w:val="24"/>
        </w:rPr>
        <w:t xml:space="preserve"> </w:t>
      </w:r>
      <w:r w:rsidR="004A619B">
        <w:rPr>
          <w:rFonts w:ascii="Times New Roman" w:hAnsi="Times New Roman" w:cs="Times New Roman"/>
          <w:iCs/>
          <w:sz w:val="24"/>
          <w:szCs w:val="24"/>
        </w:rPr>
        <w:t xml:space="preserve">The theory lends itself to as many variations as there are criteria </w:t>
      </w:r>
      <w:r w:rsidR="00541361">
        <w:rPr>
          <w:rFonts w:ascii="Times New Roman" w:hAnsi="Times New Roman" w:cs="Times New Roman"/>
          <w:iCs/>
          <w:sz w:val="24"/>
          <w:szCs w:val="24"/>
        </w:rPr>
        <w:t xml:space="preserve">for ranking overall states of affairs. Beyond agreement that </w:t>
      </w:r>
      <w:r w:rsidR="00091814">
        <w:rPr>
          <w:rFonts w:ascii="Times New Roman" w:hAnsi="Times New Roman" w:cs="Times New Roman"/>
          <w:iCs/>
          <w:sz w:val="24"/>
          <w:szCs w:val="24"/>
        </w:rPr>
        <w:t>the rightness of an act depends upon its consequences, action theorists debate about other requirements for a theory of action to be consequentialist. For example, some theorists argue that a theory of action cannot be properly considered consequentialist unless it is agent-neutral,</w:t>
      </w:r>
      <w:r w:rsidR="006B40D0">
        <w:rPr>
          <w:rStyle w:val="FootnoteReference"/>
          <w:rFonts w:ascii="Times New Roman" w:hAnsi="Times New Roman" w:cs="Times New Roman"/>
          <w:iCs/>
          <w:sz w:val="24"/>
          <w:szCs w:val="24"/>
        </w:rPr>
        <w:footnoteReference w:id="29"/>
      </w:r>
      <w:r w:rsidR="00091814">
        <w:rPr>
          <w:rFonts w:ascii="Times New Roman" w:hAnsi="Times New Roman" w:cs="Times New Roman"/>
          <w:iCs/>
          <w:sz w:val="24"/>
          <w:szCs w:val="24"/>
        </w:rPr>
        <w:t xml:space="preserve"> that is, </w:t>
      </w:r>
      <w:r w:rsidR="00C22884">
        <w:rPr>
          <w:rFonts w:ascii="Times New Roman" w:hAnsi="Times New Roman" w:cs="Times New Roman"/>
          <w:iCs/>
          <w:sz w:val="24"/>
          <w:szCs w:val="24"/>
        </w:rPr>
        <w:t xml:space="preserve">the reason for action </w:t>
      </w:r>
      <w:r w:rsidR="00C22884" w:rsidRPr="00C22884">
        <w:rPr>
          <w:rFonts w:ascii="Times New Roman" w:hAnsi="Times New Roman" w:cs="Times New Roman"/>
          <w:iCs/>
          <w:sz w:val="24"/>
          <w:szCs w:val="24"/>
        </w:rPr>
        <w:t xml:space="preserve">can be fully </w:t>
      </w:r>
      <w:r w:rsidR="00C22884">
        <w:rPr>
          <w:rFonts w:ascii="Times New Roman" w:hAnsi="Times New Roman" w:cs="Times New Roman"/>
          <w:iCs/>
          <w:sz w:val="24"/>
          <w:szCs w:val="24"/>
        </w:rPr>
        <w:t>expresse</w:t>
      </w:r>
      <w:r w:rsidR="00C22884" w:rsidRPr="00C22884">
        <w:rPr>
          <w:rFonts w:ascii="Times New Roman" w:hAnsi="Times New Roman" w:cs="Times New Roman"/>
          <w:iCs/>
          <w:sz w:val="24"/>
          <w:szCs w:val="24"/>
        </w:rPr>
        <w:t>d</w:t>
      </w:r>
      <w:r w:rsidR="00C22884">
        <w:rPr>
          <w:rFonts w:ascii="Times New Roman" w:hAnsi="Times New Roman" w:cs="Times New Roman"/>
          <w:iCs/>
          <w:sz w:val="24"/>
          <w:szCs w:val="24"/>
        </w:rPr>
        <w:t xml:space="preserve"> </w:t>
      </w:r>
      <w:r w:rsidR="00C22884" w:rsidRPr="00C22884">
        <w:rPr>
          <w:rFonts w:ascii="Times New Roman" w:hAnsi="Times New Roman" w:cs="Times New Roman"/>
          <w:iCs/>
          <w:sz w:val="24"/>
          <w:szCs w:val="24"/>
        </w:rPr>
        <w:t>without refer</w:t>
      </w:r>
      <w:r w:rsidR="00C22884">
        <w:rPr>
          <w:rFonts w:ascii="Times New Roman" w:hAnsi="Times New Roman" w:cs="Times New Roman"/>
          <w:iCs/>
          <w:sz w:val="24"/>
          <w:szCs w:val="24"/>
        </w:rPr>
        <w:t>ring back</w:t>
      </w:r>
      <w:r w:rsidR="00C22884" w:rsidRPr="00C22884">
        <w:rPr>
          <w:rFonts w:ascii="Times New Roman" w:hAnsi="Times New Roman" w:cs="Times New Roman"/>
          <w:iCs/>
          <w:sz w:val="24"/>
          <w:szCs w:val="24"/>
        </w:rPr>
        <w:t xml:space="preserve"> </w:t>
      </w:r>
      <w:r w:rsidR="00C22884">
        <w:rPr>
          <w:rFonts w:ascii="Times New Roman" w:hAnsi="Times New Roman" w:cs="Times New Roman"/>
          <w:iCs/>
          <w:sz w:val="24"/>
          <w:szCs w:val="24"/>
        </w:rPr>
        <w:t xml:space="preserve">to </w:t>
      </w:r>
      <w:r w:rsidR="00C22884" w:rsidRPr="00C22884">
        <w:rPr>
          <w:rFonts w:ascii="Times New Roman" w:hAnsi="Times New Roman" w:cs="Times New Roman"/>
          <w:iCs/>
          <w:sz w:val="24"/>
          <w:szCs w:val="24"/>
        </w:rPr>
        <w:t xml:space="preserve">the person for whom it </w:t>
      </w:r>
      <w:r w:rsidR="00C22884">
        <w:rPr>
          <w:rFonts w:ascii="Times New Roman" w:hAnsi="Times New Roman" w:cs="Times New Roman"/>
          <w:iCs/>
          <w:sz w:val="24"/>
          <w:szCs w:val="24"/>
        </w:rPr>
        <w:t xml:space="preserve">is </w:t>
      </w:r>
      <w:r w:rsidR="00236E9D">
        <w:rPr>
          <w:rFonts w:ascii="Times New Roman" w:hAnsi="Times New Roman" w:cs="Times New Roman"/>
          <w:iCs/>
          <w:sz w:val="24"/>
          <w:szCs w:val="24"/>
        </w:rPr>
        <w:t xml:space="preserve">provided </w:t>
      </w:r>
      <w:r w:rsidR="00C22884">
        <w:rPr>
          <w:rFonts w:ascii="Times New Roman" w:hAnsi="Times New Roman" w:cs="Times New Roman"/>
          <w:iCs/>
          <w:sz w:val="24"/>
          <w:szCs w:val="24"/>
        </w:rPr>
        <w:t xml:space="preserve">(if it </w:t>
      </w:r>
      <w:r w:rsidR="00C22884" w:rsidRPr="00C22884">
        <w:rPr>
          <w:rFonts w:ascii="Times New Roman" w:hAnsi="Times New Roman" w:cs="Times New Roman"/>
          <w:iCs/>
          <w:sz w:val="24"/>
          <w:szCs w:val="24"/>
        </w:rPr>
        <w:t xml:space="preserve">cannot be </w:t>
      </w:r>
      <w:r w:rsidR="00C22884">
        <w:rPr>
          <w:rFonts w:ascii="Times New Roman" w:hAnsi="Times New Roman" w:cs="Times New Roman"/>
          <w:iCs/>
          <w:sz w:val="24"/>
          <w:szCs w:val="24"/>
        </w:rPr>
        <w:t>completel</w:t>
      </w:r>
      <w:r w:rsidR="00C22884" w:rsidRPr="00C22884">
        <w:rPr>
          <w:rFonts w:ascii="Times New Roman" w:hAnsi="Times New Roman" w:cs="Times New Roman"/>
          <w:iCs/>
          <w:sz w:val="24"/>
          <w:szCs w:val="24"/>
        </w:rPr>
        <w:t xml:space="preserve">y </w:t>
      </w:r>
      <w:r w:rsidR="00C22884">
        <w:rPr>
          <w:rFonts w:ascii="Times New Roman" w:hAnsi="Times New Roman" w:cs="Times New Roman"/>
          <w:iCs/>
          <w:sz w:val="24"/>
          <w:szCs w:val="24"/>
        </w:rPr>
        <w:t>stat</w:t>
      </w:r>
      <w:r w:rsidR="00C22884" w:rsidRPr="00C22884">
        <w:rPr>
          <w:rFonts w:ascii="Times New Roman" w:hAnsi="Times New Roman" w:cs="Times New Roman"/>
          <w:iCs/>
          <w:sz w:val="24"/>
          <w:szCs w:val="24"/>
        </w:rPr>
        <w:t>ed without</w:t>
      </w:r>
      <w:r w:rsidR="00C22884">
        <w:rPr>
          <w:rFonts w:ascii="Times New Roman" w:hAnsi="Times New Roman" w:cs="Times New Roman"/>
          <w:iCs/>
          <w:sz w:val="24"/>
          <w:szCs w:val="24"/>
        </w:rPr>
        <w:t xml:space="preserve"> reference back to such a person, given the reason is “agent-relative.”)</w:t>
      </w:r>
      <w:r w:rsidR="00C22884" w:rsidRPr="00C22884">
        <w:rPr>
          <w:rFonts w:ascii="Times New Roman" w:hAnsi="Times New Roman" w:cs="Times New Roman"/>
          <w:iCs/>
          <w:sz w:val="24"/>
          <w:szCs w:val="24"/>
        </w:rPr>
        <w:t>.</w:t>
      </w:r>
      <w:r w:rsidR="00991347">
        <w:rPr>
          <w:rStyle w:val="FootnoteReference"/>
          <w:rFonts w:ascii="Times New Roman" w:hAnsi="Times New Roman" w:cs="Times New Roman"/>
          <w:iCs/>
          <w:sz w:val="24"/>
          <w:szCs w:val="24"/>
        </w:rPr>
        <w:footnoteReference w:id="30"/>
      </w:r>
      <w:r w:rsidR="00991347">
        <w:rPr>
          <w:rFonts w:ascii="Times New Roman" w:hAnsi="Times New Roman" w:cs="Times New Roman"/>
          <w:iCs/>
          <w:sz w:val="24"/>
          <w:szCs w:val="24"/>
        </w:rPr>
        <w:t xml:space="preserve"> </w:t>
      </w:r>
      <w:r w:rsidR="007E22D9">
        <w:rPr>
          <w:rFonts w:ascii="Times New Roman" w:hAnsi="Times New Roman" w:cs="Times New Roman"/>
          <w:iCs/>
          <w:sz w:val="24"/>
          <w:szCs w:val="24"/>
        </w:rPr>
        <w:t>Other theorists deny that agent-neutrality is a requirement for any reason for action to be consequentialist.</w:t>
      </w:r>
      <w:r w:rsidR="007E22D9">
        <w:rPr>
          <w:rStyle w:val="FootnoteReference"/>
          <w:rFonts w:ascii="Times New Roman" w:hAnsi="Times New Roman" w:cs="Times New Roman"/>
          <w:iCs/>
          <w:sz w:val="24"/>
          <w:szCs w:val="24"/>
        </w:rPr>
        <w:footnoteReference w:id="31"/>
      </w:r>
      <w:r w:rsidR="00FD624E">
        <w:rPr>
          <w:rFonts w:ascii="Times New Roman" w:hAnsi="Times New Roman" w:cs="Times New Roman"/>
          <w:iCs/>
          <w:sz w:val="24"/>
          <w:szCs w:val="24"/>
        </w:rPr>
        <w:t xml:space="preserve"> I hold with this latter view, for, as we shall see, the theory of value that I say endorse here is one that allows in </w:t>
      </w:r>
      <w:r w:rsidR="000A2556">
        <w:rPr>
          <w:rFonts w:ascii="Times New Roman" w:hAnsi="Times New Roman" w:cs="Times New Roman"/>
          <w:iCs/>
          <w:sz w:val="24"/>
          <w:szCs w:val="24"/>
        </w:rPr>
        <w:t xml:space="preserve">aspects of </w:t>
      </w:r>
      <w:r w:rsidR="00FD624E">
        <w:rPr>
          <w:rFonts w:ascii="Times New Roman" w:hAnsi="Times New Roman" w:cs="Times New Roman"/>
          <w:iCs/>
          <w:sz w:val="24"/>
          <w:szCs w:val="24"/>
        </w:rPr>
        <w:t>agent-relativity.</w:t>
      </w:r>
    </w:p>
    <w:p w:rsidR="000A162F" w:rsidRDefault="000A162F" w:rsidP="00E47E1B">
      <w:pPr>
        <w:pStyle w:val="NoSpacing"/>
        <w:rPr>
          <w:rFonts w:ascii="Times New Roman" w:hAnsi="Times New Roman" w:cs="Times New Roman"/>
          <w:iCs/>
          <w:sz w:val="24"/>
          <w:szCs w:val="24"/>
        </w:rPr>
      </w:pPr>
    </w:p>
    <w:p w:rsidR="000A162F" w:rsidRDefault="000A162F" w:rsidP="00E47E1B">
      <w:pPr>
        <w:pStyle w:val="NoSpacing"/>
        <w:rPr>
          <w:rFonts w:ascii="Times New Roman" w:hAnsi="Times New Roman" w:cs="Times New Roman"/>
          <w:iCs/>
          <w:sz w:val="24"/>
          <w:szCs w:val="24"/>
        </w:rPr>
      </w:pPr>
      <w:r>
        <w:rPr>
          <w:rFonts w:ascii="Times New Roman" w:hAnsi="Times New Roman" w:cs="Times New Roman"/>
          <w:iCs/>
          <w:sz w:val="24"/>
          <w:szCs w:val="24"/>
        </w:rPr>
        <w:tab/>
        <w:t>A more fundamental distinction concerns the theory of value that underlies any consequentialist action theory, i.e., what outcomes the theorist seeks obtain. The most familiar version of consequentialism is utilitarianism, which in its classical form states that the best outcome from among any set of possible outcomes is the one that maximizes the net amount of human pleasure.</w:t>
      </w:r>
      <w:r w:rsidR="002E7E06">
        <w:rPr>
          <w:rStyle w:val="FootnoteReference"/>
          <w:rFonts w:ascii="Times New Roman" w:hAnsi="Times New Roman" w:cs="Times New Roman"/>
          <w:iCs/>
          <w:sz w:val="24"/>
          <w:szCs w:val="24"/>
        </w:rPr>
        <w:footnoteReference w:id="32"/>
      </w:r>
      <w:r w:rsidR="002E7E06">
        <w:rPr>
          <w:rFonts w:ascii="Times New Roman" w:hAnsi="Times New Roman" w:cs="Times New Roman"/>
          <w:iCs/>
          <w:sz w:val="24"/>
          <w:szCs w:val="24"/>
        </w:rPr>
        <w:t xml:space="preserve"> </w:t>
      </w:r>
      <w:r w:rsidR="002A429C">
        <w:rPr>
          <w:rFonts w:ascii="Times New Roman" w:hAnsi="Times New Roman" w:cs="Times New Roman"/>
          <w:iCs/>
          <w:sz w:val="24"/>
          <w:szCs w:val="24"/>
        </w:rPr>
        <w:t>Classical utilitarianism has been subject to criticism from several angles, of course, including the focus on pleasure. One widely-shared modern variant of classical utilitarianism substitutes preference-satisfaction for pleasure. It holds that the best possible outcome is the one that maximizes the satisfaction of aggregate individual preferences.</w:t>
      </w:r>
    </w:p>
    <w:p w:rsidR="00FD08B1" w:rsidRDefault="00FD08B1" w:rsidP="00E47E1B">
      <w:pPr>
        <w:pStyle w:val="NoSpacing"/>
        <w:rPr>
          <w:rFonts w:ascii="Times New Roman" w:hAnsi="Times New Roman" w:cs="Times New Roman"/>
          <w:iCs/>
          <w:sz w:val="24"/>
          <w:szCs w:val="24"/>
        </w:rPr>
      </w:pPr>
    </w:p>
    <w:p w:rsidR="00FD08B1" w:rsidRDefault="00FD08B1" w:rsidP="00E47E1B">
      <w:pPr>
        <w:pStyle w:val="NoSpacing"/>
        <w:rPr>
          <w:rFonts w:ascii="Times New Roman" w:hAnsi="Times New Roman" w:cs="Times New Roman"/>
          <w:iCs/>
          <w:sz w:val="24"/>
          <w:szCs w:val="24"/>
        </w:rPr>
      </w:pPr>
      <w:r>
        <w:rPr>
          <w:rFonts w:ascii="Times New Roman" w:hAnsi="Times New Roman" w:cs="Times New Roman"/>
          <w:iCs/>
          <w:sz w:val="24"/>
          <w:szCs w:val="24"/>
        </w:rPr>
        <w:tab/>
        <w:t>In analyzing expropriation questions both courts and legal scholars commonly rely upon some version of utilitarianism, usually without acknowledging so. Although they are seldom so explicit, courts and scholars tend to assess the merits of proposed state projects with regard to the public-use or public-interest requirement in roughly utilitarian terms. The often-unarticulated value that underl</w:t>
      </w:r>
      <w:r w:rsidR="003C57D7">
        <w:rPr>
          <w:rFonts w:ascii="Times New Roman" w:hAnsi="Times New Roman" w:cs="Times New Roman"/>
          <w:iCs/>
          <w:sz w:val="24"/>
          <w:szCs w:val="24"/>
        </w:rPr>
        <w:t>ie</w:t>
      </w:r>
      <w:r>
        <w:rPr>
          <w:rFonts w:ascii="Times New Roman" w:hAnsi="Times New Roman" w:cs="Times New Roman"/>
          <w:iCs/>
          <w:sz w:val="24"/>
          <w:szCs w:val="24"/>
        </w:rPr>
        <w:t xml:space="preserve">s their evaluations is aggregate social welfare, a variation of classical utility. </w:t>
      </w:r>
      <w:r w:rsidR="003C57D7">
        <w:rPr>
          <w:rFonts w:ascii="Times New Roman" w:hAnsi="Times New Roman" w:cs="Times New Roman"/>
          <w:iCs/>
          <w:sz w:val="24"/>
          <w:szCs w:val="24"/>
        </w:rPr>
        <w:t xml:space="preserve">What I wish to suggest here is not only that this value foundation for public-use evaluations is not the only available form of a consequentialist approach to public-use analysis but, more boldly, that it is normatively inferior. </w:t>
      </w:r>
    </w:p>
    <w:p w:rsidR="00A2456B" w:rsidRDefault="00A2456B" w:rsidP="00E47E1B">
      <w:pPr>
        <w:pStyle w:val="NoSpacing"/>
        <w:rPr>
          <w:rFonts w:ascii="Times New Roman" w:hAnsi="Times New Roman" w:cs="Times New Roman"/>
          <w:iCs/>
          <w:sz w:val="24"/>
          <w:szCs w:val="24"/>
        </w:rPr>
      </w:pPr>
    </w:p>
    <w:p w:rsidR="009F6F4B" w:rsidRDefault="009F6F4B" w:rsidP="00E47E1B">
      <w:pPr>
        <w:pStyle w:val="NoSpacing"/>
        <w:rPr>
          <w:rFonts w:ascii="Times New Roman" w:hAnsi="Times New Roman" w:cs="Times New Roman"/>
          <w:sz w:val="24"/>
          <w:szCs w:val="24"/>
        </w:rPr>
      </w:pPr>
      <w:r>
        <w:rPr>
          <w:rFonts w:ascii="Times New Roman" w:hAnsi="Times New Roman" w:cs="Times New Roman"/>
          <w:iCs/>
          <w:sz w:val="24"/>
          <w:szCs w:val="24"/>
        </w:rPr>
        <w:tab/>
      </w:r>
      <w:r w:rsidR="003C57D7">
        <w:rPr>
          <w:rFonts w:ascii="Times New Roman" w:hAnsi="Times New Roman" w:cs="Times New Roman"/>
          <w:iCs/>
          <w:sz w:val="24"/>
          <w:szCs w:val="24"/>
        </w:rPr>
        <w:t>An</w:t>
      </w:r>
      <w:r>
        <w:rPr>
          <w:rFonts w:ascii="Times New Roman" w:hAnsi="Times New Roman" w:cs="Times New Roman"/>
          <w:iCs/>
          <w:sz w:val="24"/>
          <w:szCs w:val="24"/>
        </w:rPr>
        <w:t xml:space="preserve"> alternative that has emerged in recent years is the </w:t>
      </w:r>
      <w:r w:rsidR="003C57D7">
        <w:rPr>
          <w:rFonts w:ascii="Times New Roman" w:hAnsi="Times New Roman" w:cs="Times New Roman"/>
          <w:iCs/>
          <w:sz w:val="24"/>
          <w:szCs w:val="24"/>
        </w:rPr>
        <w:t xml:space="preserve">value </w:t>
      </w:r>
      <w:r>
        <w:rPr>
          <w:rFonts w:ascii="Times New Roman" w:hAnsi="Times New Roman" w:cs="Times New Roman"/>
          <w:iCs/>
          <w:sz w:val="24"/>
          <w:szCs w:val="24"/>
        </w:rPr>
        <w:t xml:space="preserve">theory </w:t>
      </w:r>
      <w:r w:rsidR="00EB5721">
        <w:rPr>
          <w:rFonts w:ascii="Times New Roman" w:hAnsi="Times New Roman" w:cs="Times New Roman"/>
          <w:iCs/>
          <w:sz w:val="24"/>
          <w:szCs w:val="24"/>
        </w:rPr>
        <w:t>briefly described at the outset ─ the</w:t>
      </w:r>
      <w:r w:rsidR="003D60FE">
        <w:rPr>
          <w:rFonts w:ascii="Times New Roman" w:hAnsi="Times New Roman" w:cs="Times New Roman"/>
          <w:iCs/>
          <w:sz w:val="24"/>
          <w:szCs w:val="24"/>
        </w:rPr>
        <w:t xml:space="preserve"> human flourishing</w:t>
      </w:r>
      <w:r w:rsidR="00EB5721">
        <w:rPr>
          <w:rFonts w:ascii="Times New Roman" w:hAnsi="Times New Roman" w:cs="Times New Roman"/>
          <w:iCs/>
          <w:sz w:val="24"/>
          <w:szCs w:val="24"/>
        </w:rPr>
        <w:t xml:space="preserve"> theory</w:t>
      </w:r>
      <w:r w:rsidR="00C4306D">
        <w:rPr>
          <w:rFonts w:ascii="Times New Roman" w:hAnsi="Times New Roman" w:cs="Times New Roman"/>
          <w:iCs/>
          <w:sz w:val="24"/>
          <w:szCs w:val="24"/>
        </w:rPr>
        <w:t xml:space="preserve"> that I briefly described at the outset</w:t>
      </w:r>
      <w:r>
        <w:rPr>
          <w:rFonts w:ascii="Times New Roman" w:hAnsi="Times New Roman" w:cs="Times New Roman"/>
          <w:iCs/>
          <w:sz w:val="24"/>
          <w:szCs w:val="24"/>
        </w:rPr>
        <w:t>. Th</w:t>
      </w:r>
      <w:r w:rsidR="00EB5721">
        <w:rPr>
          <w:rFonts w:ascii="Times New Roman" w:hAnsi="Times New Roman" w:cs="Times New Roman"/>
          <w:iCs/>
          <w:sz w:val="24"/>
          <w:szCs w:val="24"/>
        </w:rPr>
        <w:t>at</w:t>
      </w:r>
      <w:r>
        <w:rPr>
          <w:rFonts w:ascii="Times New Roman" w:hAnsi="Times New Roman" w:cs="Times New Roman"/>
          <w:iCs/>
          <w:sz w:val="24"/>
          <w:szCs w:val="24"/>
        </w:rPr>
        <w:t xml:space="preserve"> theory </w:t>
      </w:r>
      <w:r w:rsidR="00C4306D">
        <w:rPr>
          <w:rFonts w:ascii="Times New Roman" w:hAnsi="Times New Roman" w:cs="Times New Roman"/>
          <w:iCs/>
          <w:sz w:val="24"/>
          <w:szCs w:val="24"/>
        </w:rPr>
        <w:t>differs from all versions of utilitarianism in two important respects</w:t>
      </w:r>
      <w:r w:rsidR="00AA6D6F">
        <w:rPr>
          <w:rFonts w:ascii="Times New Roman" w:hAnsi="Times New Roman" w:cs="Times New Roman"/>
          <w:iCs/>
          <w:sz w:val="24"/>
          <w:szCs w:val="24"/>
        </w:rPr>
        <w:t xml:space="preserve">. </w:t>
      </w:r>
      <w:r w:rsidR="00C4306D">
        <w:rPr>
          <w:rFonts w:ascii="Times New Roman" w:hAnsi="Times New Roman" w:cs="Times New Roman"/>
          <w:iCs/>
          <w:sz w:val="24"/>
          <w:szCs w:val="24"/>
        </w:rPr>
        <w:t>First</w:t>
      </w:r>
      <w:r w:rsidR="00AA6D6F">
        <w:rPr>
          <w:rFonts w:ascii="Times New Roman" w:hAnsi="Times New Roman" w:cs="Times New Roman"/>
          <w:iCs/>
          <w:sz w:val="24"/>
          <w:szCs w:val="24"/>
        </w:rPr>
        <w:t xml:space="preserve">, it </w:t>
      </w:r>
      <w:r w:rsidR="003D60FE">
        <w:rPr>
          <w:rFonts w:ascii="Times New Roman" w:hAnsi="Times New Roman" w:cs="Times New Roman"/>
          <w:iCs/>
          <w:sz w:val="24"/>
          <w:szCs w:val="24"/>
        </w:rPr>
        <w:t xml:space="preserve">is pluralistic. </w:t>
      </w:r>
      <w:r w:rsidR="00C4306D">
        <w:rPr>
          <w:rFonts w:ascii="Times New Roman" w:hAnsi="Times New Roman" w:cs="Times New Roman"/>
          <w:iCs/>
          <w:sz w:val="24"/>
          <w:szCs w:val="24"/>
        </w:rPr>
        <w:t>That is, i</w:t>
      </w:r>
      <w:r w:rsidR="003D60FE">
        <w:rPr>
          <w:rFonts w:ascii="Times New Roman" w:hAnsi="Times New Roman" w:cs="Times New Roman"/>
          <w:iCs/>
          <w:sz w:val="24"/>
          <w:szCs w:val="24"/>
        </w:rPr>
        <w:t xml:space="preserve">t </w:t>
      </w:r>
      <w:r w:rsidR="00AA6D6F">
        <w:rPr>
          <w:rFonts w:ascii="Times New Roman" w:hAnsi="Times New Roman" w:cs="Times New Roman"/>
          <w:iCs/>
          <w:sz w:val="24"/>
          <w:szCs w:val="24"/>
        </w:rPr>
        <w:t xml:space="preserve">denies that </w:t>
      </w:r>
      <w:r w:rsidR="00AA6D6F" w:rsidRPr="00AA6D6F">
        <w:rPr>
          <w:rFonts w:ascii="Times New Roman" w:hAnsi="Times New Roman" w:cs="Times New Roman"/>
          <w:sz w:val="24"/>
          <w:szCs w:val="24"/>
        </w:rPr>
        <w:t>human flourishing can be reduced to any single</w:t>
      </w:r>
      <w:r w:rsidR="00AA6D6F">
        <w:rPr>
          <w:rFonts w:ascii="Times New Roman" w:hAnsi="Times New Roman" w:cs="Times New Roman"/>
          <w:sz w:val="24"/>
          <w:szCs w:val="24"/>
        </w:rPr>
        <w:t xml:space="preserve"> foundational value. </w:t>
      </w:r>
      <w:r w:rsidR="00C4306D">
        <w:rPr>
          <w:rFonts w:ascii="Times New Roman" w:hAnsi="Times New Roman" w:cs="Times New Roman"/>
          <w:sz w:val="24"/>
          <w:szCs w:val="24"/>
        </w:rPr>
        <w:t>Utilitarianism supposes that all values can be reduced to a single foundation value, namely, utility, measured by pleasure, happiness, or preference-satisfaction. Hence, in the final analysis, all that matters is maximizing this basic value. By contrast, h</w:t>
      </w:r>
      <w:r w:rsidR="00AA6D6F">
        <w:rPr>
          <w:rFonts w:ascii="Times New Roman" w:hAnsi="Times New Roman" w:cs="Times New Roman"/>
          <w:sz w:val="24"/>
          <w:szCs w:val="24"/>
        </w:rPr>
        <w:t>uman flourishing</w:t>
      </w:r>
      <w:r w:rsidR="00C4306D">
        <w:rPr>
          <w:rFonts w:ascii="Times New Roman" w:hAnsi="Times New Roman" w:cs="Times New Roman"/>
          <w:sz w:val="24"/>
          <w:szCs w:val="24"/>
        </w:rPr>
        <w:t>, as the eponymous theory conceives it,</w:t>
      </w:r>
      <w:r w:rsidR="00AA6D6F">
        <w:rPr>
          <w:rFonts w:ascii="Times New Roman" w:hAnsi="Times New Roman" w:cs="Times New Roman"/>
          <w:sz w:val="24"/>
          <w:szCs w:val="24"/>
        </w:rPr>
        <w:t xml:space="preserve"> is complex, comprised of multiple</w:t>
      </w:r>
      <w:r w:rsidR="00C4306D">
        <w:rPr>
          <w:rFonts w:ascii="Times New Roman" w:hAnsi="Times New Roman" w:cs="Times New Roman"/>
          <w:sz w:val="24"/>
          <w:szCs w:val="24"/>
        </w:rPr>
        <w:t xml:space="preserve"> and</w:t>
      </w:r>
      <w:r w:rsidR="00AA6D6F">
        <w:rPr>
          <w:rFonts w:ascii="Times New Roman" w:hAnsi="Times New Roman" w:cs="Times New Roman"/>
          <w:sz w:val="24"/>
          <w:szCs w:val="24"/>
        </w:rPr>
        <w:t xml:space="preserve"> irreducible values such as love, friendship, health, equality, community, and so on. </w:t>
      </w:r>
      <w:r w:rsidR="00C4306D">
        <w:rPr>
          <w:rFonts w:ascii="Times New Roman" w:hAnsi="Times New Roman" w:cs="Times New Roman"/>
          <w:sz w:val="24"/>
          <w:szCs w:val="24"/>
        </w:rPr>
        <w:t xml:space="preserve">Hard cases </w:t>
      </w:r>
      <w:r w:rsidR="00C4306D" w:rsidRPr="00C4306D">
        <w:rPr>
          <w:rFonts w:ascii="Times New Roman" w:hAnsi="Times New Roman" w:cs="Times New Roman"/>
          <w:i/>
          <w:sz w:val="24"/>
          <w:szCs w:val="24"/>
        </w:rPr>
        <w:t>are</w:t>
      </w:r>
      <w:r w:rsidR="00C4306D">
        <w:rPr>
          <w:rFonts w:ascii="Times New Roman" w:hAnsi="Times New Roman" w:cs="Times New Roman"/>
          <w:sz w:val="24"/>
          <w:szCs w:val="24"/>
        </w:rPr>
        <w:t xml:space="preserve"> hard cases, then, because they require the decision-maker to resolve conflicts between or among multiple values </w:t>
      </w:r>
      <w:r w:rsidR="00364DDE">
        <w:rPr>
          <w:rFonts w:ascii="Times New Roman" w:hAnsi="Times New Roman" w:cs="Times New Roman"/>
          <w:sz w:val="24"/>
          <w:szCs w:val="24"/>
        </w:rPr>
        <w:t>all of which are relevant to the human flourishing calculus.</w:t>
      </w:r>
    </w:p>
    <w:p w:rsidR="003D60FE" w:rsidRDefault="003D60FE" w:rsidP="00E47E1B">
      <w:pPr>
        <w:pStyle w:val="NoSpacing"/>
        <w:rPr>
          <w:rFonts w:ascii="Times New Roman" w:hAnsi="Times New Roman" w:cs="Times New Roman"/>
          <w:sz w:val="24"/>
          <w:szCs w:val="24"/>
        </w:rPr>
      </w:pPr>
    </w:p>
    <w:p w:rsidR="007B7682" w:rsidRDefault="003D60FE" w:rsidP="00E47E1B">
      <w:pPr>
        <w:pStyle w:val="NoSpacing"/>
        <w:rPr>
          <w:rFonts w:ascii="Times New Roman" w:hAnsi="Times New Roman" w:cs="Times New Roman"/>
          <w:sz w:val="24"/>
          <w:szCs w:val="24"/>
        </w:rPr>
      </w:pPr>
      <w:r>
        <w:rPr>
          <w:rFonts w:ascii="Times New Roman" w:hAnsi="Times New Roman" w:cs="Times New Roman"/>
          <w:sz w:val="24"/>
          <w:szCs w:val="24"/>
        </w:rPr>
        <w:tab/>
      </w:r>
      <w:r w:rsidR="00364DDE">
        <w:rPr>
          <w:rFonts w:ascii="Times New Roman" w:hAnsi="Times New Roman" w:cs="Times New Roman"/>
          <w:sz w:val="24"/>
          <w:szCs w:val="24"/>
        </w:rPr>
        <w:t>The second</w:t>
      </w:r>
      <w:r>
        <w:rPr>
          <w:rFonts w:ascii="Times New Roman" w:hAnsi="Times New Roman" w:cs="Times New Roman"/>
          <w:sz w:val="24"/>
          <w:szCs w:val="24"/>
        </w:rPr>
        <w:t xml:space="preserve"> </w:t>
      </w:r>
      <w:r w:rsidR="00364DDE">
        <w:rPr>
          <w:rFonts w:ascii="Times New Roman" w:hAnsi="Times New Roman" w:cs="Times New Roman"/>
          <w:sz w:val="24"/>
          <w:szCs w:val="24"/>
        </w:rPr>
        <w:t xml:space="preserve">distinguishing </w:t>
      </w:r>
      <w:r>
        <w:rPr>
          <w:rFonts w:ascii="Times New Roman" w:hAnsi="Times New Roman" w:cs="Times New Roman"/>
          <w:sz w:val="24"/>
          <w:szCs w:val="24"/>
        </w:rPr>
        <w:t>characteristic</w:t>
      </w:r>
      <w:r w:rsidR="00905EC5">
        <w:rPr>
          <w:rFonts w:ascii="Times New Roman" w:hAnsi="Times New Roman" w:cs="Times New Roman"/>
          <w:sz w:val="24"/>
          <w:szCs w:val="24"/>
        </w:rPr>
        <w:t xml:space="preserve"> of the human flourishing theory</w:t>
      </w:r>
      <w:r>
        <w:rPr>
          <w:rFonts w:ascii="Times New Roman" w:hAnsi="Times New Roman" w:cs="Times New Roman"/>
          <w:sz w:val="24"/>
          <w:szCs w:val="24"/>
        </w:rPr>
        <w:t xml:space="preserve"> is that it is objective. </w:t>
      </w:r>
      <w:r w:rsidR="00364DDE">
        <w:rPr>
          <w:rFonts w:ascii="Times New Roman" w:hAnsi="Times New Roman" w:cs="Times New Roman"/>
          <w:sz w:val="24"/>
          <w:szCs w:val="24"/>
        </w:rPr>
        <w:t xml:space="preserve">Utilitarianism is strictly subjective. Happiness, pleasure, and preferences are all purely matters of individual taste, not subject to objective judgment. This is not the case for the well-lived life, as the human flourishing theory conceives it. </w:t>
      </w:r>
      <w:r>
        <w:rPr>
          <w:rFonts w:ascii="Times New Roman" w:hAnsi="Times New Roman" w:cs="Times New Roman"/>
          <w:sz w:val="24"/>
          <w:szCs w:val="24"/>
        </w:rPr>
        <w:t>There are</w:t>
      </w:r>
      <w:r w:rsidR="00364DDE">
        <w:rPr>
          <w:rFonts w:ascii="Times New Roman" w:hAnsi="Times New Roman" w:cs="Times New Roman"/>
          <w:sz w:val="24"/>
          <w:szCs w:val="24"/>
        </w:rPr>
        <w:t>, of course,</w:t>
      </w:r>
      <w:r>
        <w:rPr>
          <w:rFonts w:ascii="Times New Roman" w:hAnsi="Times New Roman" w:cs="Times New Roman"/>
          <w:sz w:val="24"/>
          <w:szCs w:val="24"/>
        </w:rPr>
        <w:t xml:space="preserve"> many way of living a well-lived life, but </w:t>
      </w:r>
      <w:r w:rsidRPr="003D60FE">
        <w:rPr>
          <w:rFonts w:ascii="Times New Roman" w:hAnsi="Times New Roman" w:cs="Times New Roman"/>
          <w:sz w:val="24"/>
          <w:szCs w:val="24"/>
        </w:rPr>
        <w:t>there are also many bad ways of living as well</w:t>
      </w:r>
      <w:r>
        <w:rPr>
          <w:rFonts w:ascii="Times New Roman" w:hAnsi="Times New Roman" w:cs="Times New Roman"/>
          <w:sz w:val="24"/>
          <w:szCs w:val="24"/>
        </w:rPr>
        <w:t xml:space="preserve">. </w:t>
      </w:r>
      <w:r w:rsidR="0066571A">
        <w:rPr>
          <w:rFonts w:ascii="Times New Roman" w:hAnsi="Times New Roman" w:cs="Times New Roman"/>
          <w:sz w:val="24"/>
          <w:szCs w:val="24"/>
        </w:rPr>
        <w:t xml:space="preserve">Which ways of living are good, i.e., promote human flourishing, and which </w:t>
      </w:r>
      <w:r w:rsidR="00905EC5">
        <w:rPr>
          <w:rFonts w:ascii="Times New Roman" w:hAnsi="Times New Roman" w:cs="Times New Roman"/>
          <w:sz w:val="24"/>
          <w:szCs w:val="24"/>
        </w:rPr>
        <w:t xml:space="preserve">are </w:t>
      </w:r>
      <w:r w:rsidR="0066571A">
        <w:rPr>
          <w:rFonts w:ascii="Times New Roman" w:hAnsi="Times New Roman" w:cs="Times New Roman"/>
          <w:sz w:val="24"/>
          <w:szCs w:val="24"/>
        </w:rPr>
        <w:t>not is not a matter of individual preference</w:t>
      </w:r>
      <w:r w:rsidR="00FB1452">
        <w:rPr>
          <w:rFonts w:ascii="Times New Roman" w:hAnsi="Times New Roman" w:cs="Times New Roman"/>
          <w:sz w:val="24"/>
          <w:szCs w:val="24"/>
        </w:rPr>
        <w:t xml:space="preserve">. </w:t>
      </w:r>
      <w:r w:rsidR="0066571A">
        <w:rPr>
          <w:rFonts w:ascii="Times New Roman" w:hAnsi="Times New Roman" w:cs="Times New Roman"/>
          <w:sz w:val="24"/>
          <w:szCs w:val="24"/>
        </w:rPr>
        <w:t xml:space="preserve"> </w:t>
      </w:r>
      <w:r w:rsidR="00FB1452" w:rsidRPr="00FB1452">
        <w:rPr>
          <w:rFonts w:ascii="Times New Roman" w:hAnsi="Times New Roman" w:cs="Times New Roman"/>
          <w:sz w:val="24"/>
          <w:szCs w:val="24"/>
        </w:rPr>
        <w:t xml:space="preserve">The well-lived life is a life that conforms to certain objectively valuable patterns of </w:t>
      </w:r>
      <w:r w:rsidR="00FB1452">
        <w:rPr>
          <w:rFonts w:ascii="Times New Roman" w:hAnsi="Times New Roman" w:cs="Times New Roman"/>
          <w:sz w:val="24"/>
          <w:szCs w:val="24"/>
        </w:rPr>
        <w:t>human existence and interaction</w:t>
      </w:r>
      <w:r w:rsidR="007B7682" w:rsidRPr="007B7682">
        <w:t xml:space="preserve"> </w:t>
      </w:r>
      <w:r w:rsidR="007B7682" w:rsidRPr="007B7682">
        <w:rPr>
          <w:rFonts w:ascii="Times New Roman" w:hAnsi="Times New Roman" w:cs="Times New Roman"/>
          <w:sz w:val="24"/>
          <w:szCs w:val="24"/>
        </w:rPr>
        <w:t xml:space="preserve">or what </w:t>
      </w:r>
      <w:proofErr w:type="spellStart"/>
      <w:r w:rsidR="007B7682">
        <w:rPr>
          <w:rFonts w:ascii="Times New Roman" w:hAnsi="Times New Roman" w:cs="Times New Roman"/>
          <w:sz w:val="24"/>
          <w:szCs w:val="24"/>
        </w:rPr>
        <w:t>Amartya</w:t>
      </w:r>
      <w:proofErr w:type="spellEnd"/>
      <w:r w:rsidR="007B7682">
        <w:rPr>
          <w:rFonts w:ascii="Times New Roman" w:hAnsi="Times New Roman" w:cs="Times New Roman"/>
          <w:sz w:val="24"/>
          <w:szCs w:val="24"/>
        </w:rPr>
        <w:t xml:space="preserve"> </w:t>
      </w:r>
      <w:r w:rsidR="007B7682" w:rsidRPr="007B7682">
        <w:rPr>
          <w:rFonts w:ascii="Times New Roman" w:hAnsi="Times New Roman" w:cs="Times New Roman"/>
          <w:sz w:val="24"/>
          <w:szCs w:val="24"/>
        </w:rPr>
        <w:t xml:space="preserve">Sen calls </w:t>
      </w:r>
      <w:r w:rsidR="007B7682">
        <w:rPr>
          <w:rFonts w:ascii="Times New Roman" w:hAnsi="Times New Roman" w:cs="Times New Roman"/>
          <w:sz w:val="24"/>
          <w:szCs w:val="24"/>
        </w:rPr>
        <w:t>“</w:t>
      </w:r>
      <w:proofErr w:type="spellStart"/>
      <w:r w:rsidR="007B7682" w:rsidRPr="007B7682">
        <w:rPr>
          <w:rFonts w:ascii="Times New Roman" w:hAnsi="Times New Roman" w:cs="Times New Roman"/>
          <w:sz w:val="24"/>
          <w:szCs w:val="24"/>
        </w:rPr>
        <w:t>functionings</w:t>
      </w:r>
      <w:proofErr w:type="spellEnd"/>
      <w:r w:rsidR="007B7682" w:rsidRPr="007B7682">
        <w:rPr>
          <w:rFonts w:ascii="Times New Roman" w:hAnsi="Times New Roman" w:cs="Times New Roman"/>
          <w:sz w:val="24"/>
          <w:szCs w:val="24"/>
        </w:rPr>
        <w:t>,</w:t>
      </w:r>
      <w:r w:rsidR="007B7682">
        <w:rPr>
          <w:rFonts w:ascii="Times New Roman" w:hAnsi="Times New Roman" w:cs="Times New Roman"/>
          <w:sz w:val="24"/>
          <w:szCs w:val="24"/>
        </w:rPr>
        <w:t>”</w:t>
      </w:r>
      <w:r w:rsidR="007B7682" w:rsidRPr="007B7682">
        <w:rPr>
          <w:rFonts w:ascii="Times New Roman" w:hAnsi="Times New Roman" w:cs="Times New Roman"/>
          <w:sz w:val="24"/>
          <w:szCs w:val="24"/>
        </w:rPr>
        <w:t xml:space="preserve"> rather than a life characterized merely by the possession of particular goods, the satisfaction of particular (subjective) preferences, or even, without more, the possession of particular negative liberties.</w:t>
      </w:r>
      <w:r w:rsidR="007B7682">
        <w:rPr>
          <w:rStyle w:val="FootnoteReference"/>
          <w:rFonts w:ascii="Times New Roman" w:hAnsi="Times New Roman" w:cs="Times New Roman"/>
          <w:sz w:val="24"/>
          <w:szCs w:val="24"/>
        </w:rPr>
        <w:footnoteReference w:id="33"/>
      </w:r>
      <w:r w:rsidR="007B7682" w:rsidRPr="007B7682">
        <w:rPr>
          <w:rFonts w:ascii="Times New Roman" w:hAnsi="Times New Roman" w:cs="Times New Roman"/>
          <w:sz w:val="24"/>
          <w:szCs w:val="24"/>
        </w:rPr>
        <w:t xml:space="preserve"> </w:t>
      </w:r>
      <w:r w:rsidR="00C363BF" w:rsidRPr="00C363BF">
        <w:rPr>
          <w:rFonts w:ascii="Times New Roman" w:hAnsi="Times New Roman" w:cs="Times New Roman"/>
          <w:sz w:val="24"/>
          <w:szCs w:val="24"/>
        </w:rPr>
        <w:t xml:space="preserve">Social structures, including distributions of property rights and the </w:t>
      </w:r>
      <w:r w:rsidR="00C363BF">
        <w:rPr>
          <w:rFonts w:ascii="Times New Roman" w:hAnsi="Times New Roman" w:cs="Times New Roman"/>
          <w:sz w:val="24"/>
          <w:szCs w:val="24"/>
        </w:rPr>
        <w:t xml:space="preserve">limitations on </w:t>
      </w:r>
      <w:r w:rsidR="00C363BF" w:rsidRPr="00C363BF">
        <w:rPr>
          <w:rFonts w:ascii="Times New Roman" w:hAnsi="Times New Roman" w:cs="Times New Roman"/>
          <w:sz w:val="24"/>
          <w:szCs w:val="24"/>
        </w:rPr>
        <w:t>the ownership of property, are to be judged, at least in part, by the degree to which they foster the participation by human beings in these objectively valuable patterns of existence and interaction.</w:t>
      </w:r>
      <w:r w:rsidR="007B7682">
        <w:rPr>
          <w:rFonts w:ascii="Times New Roman" w:hAnsi="Times New Roman" w:cs="Times New Roman"/>
          <w:sz w:val="24"/>
          <w:szCs w:val="24"/>
        </w:rPr>
        <w:t xml:space="preserve"> </w:t>
      </w:r>
      <w:r w:rsidR="00FB1452">
        <w:rPr>
          <w:rFonts w:ascii="Times New Roman" w:hAnsi="Times New Roman" w:cs="Times New Roman"/>
          <w:sz w:val="24"/>
          <w:szCs w:val="24"/>
        </w:rPr>
        <w:t xml:space="preserve"> </w:t>
      </w:r>
    </w:p>
    <w:p w:rsidR="007B7682" w:rsidRDefault="007B7682" w:rsidP="00E47E1B">
      <w:pPr>
        <w:pStyle w:val="NoSpacing"/>
        <w:rPr>
          <w:rFonts w:ascii="Times New Roman" w:hAnsi="Times New Roman" w:cs="Times New Roman"/>
          <w:sz w:val="24"/>
          <w:szCs w:val="24"/>
        </w:rPr>
      </w:pPr>
    </w:p>
    <w:p w:rsidR="003D60FE" w:rsidRDefault="007B7682" w:rsidP="00E47E1B">
      <w:pPr>
        <w:pStyle w:val="NoSpacing"/>
        <w:rPr>
          <w:rFonts w:ascii="Times New Roman" w:hAnsi="Times New Roman" w:cs="Times New Roman"/>
          <w:sz w:val="24"/>
          <w:szCs w:val="24"/>
        </w:rPr>
      </w:pPr>
      <w:r>
        <w:rPr>
          <w:rFonts w:ascii="Times New Roman" w:hAnsi="Times New Roman" w:cs="Times New Roman"/>
          <w:sz w:val="24"/>
          <w:szCs w:val="24"/>
        </w:rPr>
        <w:tab/>
      </w:r>
      <w:r w:rsidR="00140ED5">
        <w:rPr>
          <w:rFonts w:ascii="Times New Roman" w:hAnsi="Times New Roman" w:cs="Times New Roman"/>
          <w:sz w:val="24"/>
          <w:szCs w:val="24"/>
        </w:rPr>
        <w:t>T</w:t>
      </w:r>
      <w:r w:rsidR="00140ED5" w:rsidRPr="00140ED5">
        <w:rPr>
          <w:rFonts w:ascii="Times New Roman" w:hAnsi="Times New Roman" w:cs="Times New Roman"/>
          <w:sz w:val="24"/>
          <w:szCs w:val="24"/>
        </w:rPr>
        <w:t xml:space="preserve">he objectivity of values </w:t>
      </w:r>
      <w:r w:rsidR="00140ED5">
        <w:rPr>
          <w:rFonts w:ascii="Times New Roman" w:hAnsi="Times New Roman" w:cs="Times New Roman"/>
          <w:sz w:val="24"/>
          <w:szCs w:val="24"/>
        </w:rPr>
        <w:t>does</w:t>
      </w:r>
      <w:r w:rsidR="00140ED5" w:rsidRPr="00140ED5">
        <w:rPr>
          <w:rFonts w:ascii="Times New Roman" w:hAnsi="Times New Roman" w:cs="Times New Roman"/>
          <w:sz w:val="24"/>
          <w:szCs w:val="24"/>
        </w:rPr>
        <w:t xml:space="preserve"> not necessarily </w:t>
      </w:r>
      <w:r w:rsidR="00140ED5">
        <w:rPr>
          <w:rFonts w:ascii="Times New Roman" w:hAnsi="Times New Roman" w:cs="Times New Roman"/>
          <w:sz w:val="24"/>
          <w:szCs w:val="24"/>
        </w:rPr>
        <w:t>mean that we do not</w:t>
      </w:r>
      <w:r w:rsidR="00140ED5" w:rsidRPr="00140ED5">
        <w:rPr>
          <w:rFonts w:ascii="Times New Roman" w:hAnsi="Times New Roman" w:cs="Times New Roman"/>
          <w:sz w:val="24"/>
          <w:szCs w:val="24"/>
        </w:rPr>
        <w:t xml:space="preserve"> tak</w:t>
      </w:r>
      <w:r w:rsidR="00140ED5">
        <w:rPr>
          <w:rFonts w:ascii="Times New Roman" w:hAnsi="Times New Roman" w:cs="Times New Roman"/>
          <w:sz w:val="24"/>
          <w:szCs w:val="24"/>
        </w:rPr>
        <w:t>e</w:t>
      </w:r>
      <w:r w:rsidR="00140ED5" w:rsidRPr="00140ED5">
        <w:rPr>
          <w:rFonts w:ascii="Times New Roman" w:hAnsi="Times New Roman" w:cs="Times New Roman"/>
          <w:sz w:val="24"/>
          <w:szCs w:val="24"/>
        </w:rPr>
        <w:t xml:space="preserve"> subjectivity </w:t>
      </w:r>
      <w:r w:rsidR="00140ED5">
        <w:rPr>
          <w:rFonts w:ascii="Times New Roman" w:hAnsi="Times New Roman" w:cs="Times New Roman"/>
          <w:sz w:val="24"/>
          <w:szCs w:val="24"/>
        </w:rPr>
        <w:t>or</w:t>
      </w:r>
      <w:r w:rsidR="00140ED5" w:rsidRPr="00140ED5">
        <w:rPr>
          <w:rFonts w:ascii="Times New Roman" w:hAnsi="Times New Roman" w:cs="Times New Roman"/>
          <w:sz w:val="24"/>
          <w:szCs w:val="24"/>
        </w:rPr>
        <w:t xml:space="preserve"> subjective judgments into account.</w:t>
      </w:r>
      <w:r w:rsidR="00140ED5">
        <w:rPr>
          <w:rFonts w:ascii="Times New Roman" w:hAnsi="Times New Roman" w:cs="Times New Roman"/>
          <w:sz w:val="24"/>
          <w:szCs w:val="24"/>
        </w:rPr>
        <w:t xml:space="preserve"> The</w:t>
      </w:r>
      <w:r w:rsidR="00140ED5" w:rsidRPr="00140ED5">
        <w:rPr>
          <w:rFonts w:ascii="Times New Roman" w:hAnsi="Times New Roman" w:cs="Times New Roman"/>
          <w:sz w:val="24"/>
          <w:szCs w:val="24"/>
        </w:rPr>
        <w:t xml:space="preserve"> evaluation </w:t>
      </w:r>
      <w:r w:rsidR="00140ED5">
        <w:rPr>
          <w:rFonts w:ascii="Times New Roman" w:hAnsi="Times New Roman" w:cs="Times New Roman"/>
          <w:sz w:val="24"/>
          <w:szCs w:val="24"/>
        </w:rPr>
        <w:t xml:space="preserve">of values </w:t>
      </w:r>
      <w:r w:rsidR="00140ED5" w:rsidRPr="00140ED5">
        <w:rPr>
          <w:rFonts w:ascii="Times New Roman" w:hAnsi="Times New Roman" w:cs="Times New Roman"/>
          <w:sz w:val="24"/>
          <w:szCs w:val="24"/>
        </w:rPr>
        <w:t xml:space="preserve">is </w:t>
      </w:r>
      <w:r w:rsidR="00140ED5" w:rsidRPr="00140ED5">
        <w:rPr>
          <w:rFonts w:ascii="Times New Roman" w:hAnsi="Times New Roman" w:cs="Times New Roman"/>
          <w:i/>
          <w:iCs/>
          <w:sz w:val="24"/>
          <w:szCs w:val="24"/>
        </w:rPr>
        <w:t>position-relative</w:t>
      </w:r>
      <w:r w:rsidR="00140ED5">
        <w:rPr>
          <w:rFonts w:ascii="Times New Roman" w:hAnsi="Times New Roman" w:cs="Times New Roman"/>
          <w:iCs/>
          <w:sz w:val="24"/>
          <w:szCs w:val="24"/>
        </w:rPr>
        <w:t>, we might say, but this does not</w:t>
      </w:r>
      <w:r w:rsidR="00140ED5" w:rsidRPr="00140ED5">
        <w:rPr>
          <w:rFonts w:ascii="Times New Roman" w:hAnsi="Times New Roman" w:cs="Times New Roman"/>
          <w:sz w:val="24"/>
          <w:szCs w:val="24"/>
        </w:rPr>
        <w:t xml:space="preserve"> imply that values are relative.</w:t>
      </w:r>
      <w:r w:rsidR="008B536B">
        <w:rPr>
          <w:rStyle w:val="FootnoteReference"/>
          <w:rFonts w:ascii="Times New Roman" w:hAnsi="Times New Roman" w:cs="Times New Roman"/>
          <w:sz w:val="24"/>
          <w:szCs w:val="24"/>
        </w:rPr>
        <w:footnoteReference w:id="34"/>
      </w:r>
      <w:r w:rsidR="008B536B">
        <w:rPr>
          <w:rFonts w:ascii="Times New Roman" w:hAnsi="Times New Roman" w:cs="Times New Roman"/>
          <w:sz w:val="24"/>
          <w:szCs w:val="24"/>
        </w:rPr>
        <w:t xml:space="preserve"> V</w:t>
      </w:r>
      <w:r w:rsidR="008B536B" w:rsidRPr="008B536B">
        <w:rPr>
          <w:rFonts w:ascii="Times New Roman" w:hAnsi="Times New Roman" w:cs="Times New Roman"/>
          <w:sz w:val="24"/>
          <w:szCs w:val="24"/>
        </w:rPr>
        <w:t>aluation can be position-relative in the same way that</w:t>
      </w:r>
      <w:r w:rsidR="002121E1">
        <w:rPr>
          <w:rFonts w:ascii="Times New Roman" w:hAnsi="Times New Roman" w:cs="Times New Roman"/>
          <w:sz w:val="24"/>
          <w:szCs w:val="24"/>
        </w:rPr>
        <w:t xml:space="preserve"> the</w:t>
      </w:r>
      <w:r w:rsidR="008B536B" w:rsidRPr="008B536B">
        <w:rPr>
          <w:rFonts w:ascii="Times New Roman" w:hAnsi="Times New Roman" w:cs="Times New Roman"/>
          <w:sz w:val="24"/>
          <w:szCs w:val="24"/>
        </w:rPr>
        <w:t xml:space="preserve"> statement</w:t>
      </w:r>
      <w:r w:rsidR="002121E1">
        <w:rPr>
          <w:rFonts w:ascii="Times New Roman" w:hAnsi="Times New Roman" w:cs="Times New Roman"/>
          <w:sz w:val="24"/>
          <w:szCs w:val="24"/>
        </w:rPr>
        <w:t xml:space="preserve"> </w:t>
      </w:r>
      <w:r w:rsidR="008B536B">
        <w:rPr>
          <w:rFonts w:ascii="Times New Roman" w:hAnsi="Times New Roman" w:cs="Times New Roman"/>
          <w:sz w:val="24"/>
          <w:szCs w:val="24"/>
        </w:rPr>
        <w:t>“</w:t>
      </w:r>
      <w:r w:rsidR="008B536B" w:rsidRPr="008B536B">
        <w:rPr>
          <w:rFonts w:ascii="Times New Roman" w:hAnsi="Times New Roman" w:cs="Times New Roman"/>
          <w:sz w:val="24"/>
          <w:szCs w:val="24"/>
        </w:rPr>
        <w:t>The sun is setting</w:t>
      </w:r>
      <w:r w:rsidR="008B536B">
        <w:rPr>
          <w:rFonts w:ascii="Times New Roman" w:hAnsi="Times New Roman" w:cs="Times New Roman"/>
          <w:sz w:val="24"/>
          <w:szCs w:val="24"/>
        </w:rPr>
        <w:t>”</w:t>
      </w:r>
      <w:r w:rsidR="008B536B" w:rsidRPr="008B536B">
        <w:rPr>
          <w:rFonts w:ascii="Times New Roman" w:hAnsi="Times New Roman" w:cs="Times New Roman"/>
          <w:sz w:val="24"/>
          <w:szCs w:val="24"/>
        </w:rPr>
        <w:t xml:space="preserve"> </w:t>
      </w:r>
      <w:r w:rsidR="002121E1">
        <w:rPr>
          <w:rFonts w:ascii="Times New Roman" w:hAnsi="Times New Roman" w:cs="Times New Roman"/>
          <w:sz w:val="24"/>
          <w:szCs w:val="24"/>
        </w:rPr>
        <w:t xml:space="preserve">is. </w:t>
      </w:r>
      <w:r w:rsidR="008B536B" w:rsidRPr="008B536B">
        <w:rPr>
          <w:rFonts w:ascii="Times New Roman" w:hAnsi="Times New Roman" w:cs="Times New Roman"/>
          <w:sz w:val="24"/>
          <w:szCs w:val="24"/>
        </w:rPr>
        <w:t>The truth of that statement varies with the position of the person, but it cannot vary from person to person among those standing in the same position.</w:t>
      </w:r>
      <w:r w:rsidR="002121E1">
        <w:rPr>
          <w:rStyle w:val="FootnoteReference"/>
          <w:rFonts w:ascii="Times New Roman" w:hAnsi="Times New Roman" w:cs="Times New Roman"/>
          <w:sz w:val="24"/>
          <w:szCs w:val="24"/>
        </w:rPr>
        <w:footnoteReference w:id="35"/>
      </w:r>
    </w:p>
    <w:p w:rsidR="00C4306D" w:rsidRDefault="00C4306D" w:rsidP="00E47E1B">
      <w:pPr>
        <w:pStyle w:val="NoSpacing"/>
        <w:rPr>
          <w:rFonts w:ascii="Times New Roman" w:hAnsi="Times New Roman" w:cs="Times New Roman"/>
          <w:sz w:val="24"/>
          <w:szCs w:val="24"/>
        </w:rPr>
      </w:pPr>
    </w:p>
    <w:p w:rsidR="003E1A60" w:rsidRDefault="00AF6188" w:rsidP="00E47E1B">
      <w:pPr>
        <w:pStyle w:val="NoSpacing"/>
        <w:rPr>
          <w:rFonts w:ascii="Times New Roman" w:hAnsi="Times New Roman" w:cs="Times New Roman"/>
          <w:iCs/>
          <w:sz w:val="24"/>
          <w:szCs w:val="24"/>
        </w:rPr>
      </w:pPr>
      <w:r>
        <w:rPr>
          <w:rFonts w:ascii="Times New Roman" w:hAnsi="Times New Roman" w:cs="Times New Roman"/>
          <w:sz w:val="24"/>
          <w:szCs w:val="24"/>
        </w:rPr>
        <w:t xml:space="preserve">Which of two varieties of consequentialist reasoning </w:t>
      </w:r>
      <w:r>
        <w:rPr>
          <w:rFonts w:ascii="Times New Roman" w:hAnsi="Times New Roman" w:cs="Times New Roman"/>
          <w:iCs/>
          <w:sz w:val="24"/>
          <w:szCs w:val="24"/>
        </w:rPr>
        <w:t xml:space="preserve">is better suited to </w:t>
      </w:r>
      <w:r w:rsidR="004A34A5">
        <w:rPr>
          <w:rFonts w:ascii="Times New Roman" w:hAnsi="Times New Roman" w:cs="Times New Roman"/>
          <w:iCs/>
          <w:sz w:val="24"/>
          <w:szCs w:val="24"/>
        </w:rPr>
        <w:t>analysis of the public-use requirement in expropriation cases? For reasons that I shall explain, t</w:t>
      </w:r>
      <w:r w:rsidR="00D47F61">
        <w:rPr>
          <w:rFonts w:ascii="Times New Roman" w:hAnsi="Times New Roman" w:cs="Times New Roman"/>
          <w:iCs/>
          <w:sz w:val="24"/>
          <w:szCs w:val="24"/>
        </w:rPr>
        <w:t xml:space="preserve">he human-flourishing form of consequentialist reasoning </w:t>
      </w:r>
      <w:r w:rsidR="004A34A5">
        <w:rPr>
          <w:rFonts w:ascii="Times New Roman" w:hAnsi="Times New Roman" w:cs="Times New Roman"/>
          <w:iCs/>
          <w:sz w:val="24"/>
          <w:szCs w:val="24"/>
        </w:rPr>
        <w:t>is preferable to utilitarian forms of reasoning.</w:t>
      </w:r>
      <w:r w:rsidR="003437A3">
        <w:rPr>
          <w:rFonts w:ascii="Times New Roman" w:hAnsi="Times New Roman" w:cs="Times New Roman"/>
          <w:iCs/>
          <w:sz w:val="24"/>
          <w:szCs w:val="24"/>
        </w:rPr>
        <w:t xml:space="preserve"> To do so</w:t>
      </w:r>
      <w:r w:rsidR="004A34A5">
        <w:rPr>
          <w:rFonts w:ascii="Times New Roman" w:hAnsi="Times New Roman" w:cs="Times New Roman"/>
          <w:iCs/>
          <w:sz w:val="24"/>
          <w:szCs w:val="24"/>
        </w:rPr>
        <w:t>, I need first to turn to a related</w:t>
      </w:r>
      <w:r w:rsidR="00A34CD2">
        <w:rPr>
          <w:rFonts w:ascii="Times New Roman" w:hAnsi="Times New Roman" w:cs="Times New Roman"/>
          <w:iCs/>
          <w:sz w:val="24"/>
          <w:szCs w:val="24"/>
        </w:rPr>
        <w:t xml:space="preserve"> matter ─ purposive analysis in constitutional property cases. </w:t>
      </w:r>
    </w:p>
    <w:p w:rsidR="00A34CD2" w:rsidRDefault="00A34CD2" w:rsidP="00E47E1B">
      <w:pPr>
        <w:pStyle w:val="NoSpacing"/>
        <w:rPr>
          <w:rFonts w:ascii="Times New Roman" w:hAnsi="Times New Roman" w:cs="Times New Roman"/>
          <w:iCs/>
          <w:sz w:val="24"/>
          <w:szCs w:val="24"/>
        </w:rPr>
      </w:pPr>
    </w:p>
    <w:p w:rsidR="00A34CD2" w:rsidRPr="007E4B6C" w:rsidRDefault="00A34CD2" w:rsidP="007E4B6C">
      <w:pPr>
        <w:pStyle w:val="NoSpacing"/>
        <w:jc w:val="center"/>
        <w:rPr>
          <w:rFonts w:ascii="Times New Roman" w:hAnsi="Times New Roman" w:cs="Times New Roman"/>
          <w:iCs/>
          <w:sz w:val="24"/>
          <w:szCs w:val="24"/>
          <w:u w:val="single"/>
        </w:rPr>
      </w:pPr>
      <w:r w:rsidRPr="007E4B6C">
        <w:rPr>
          <w:rFonts w:ascii="Times New Roman" w:hAnsi="Times New Roman" w:cs="Times New Roman"/>
          <w:iCs/>
          <w:sz w:val="24"/>
          <w:szCs w:val="24"/>
          <w:u w:val="single"/>
        </w:rPr>
        <w:t>Purposive Analysis</w:t>
      </w:r>
    </w:p>
    <w:p w:rsidR="00A34CD2" w:rsidRDefault="00A34CD2" w:rsidP="00E47E1B">
      <w:pPr>
        <w:pStyle w:val="NoSpacing"/>
        <w:rPr>
          <w:rFonts w:ascii="Times New Roman" w:hAnsi="Times New Roman" w:cs="Times New Roman"/>
          <w:iCs/>
          <w:sz w:val="24"/>
          <w:szCs w:val="24"/>
        </w:rPr>
      </w:pPr>
    </w:p>
    <w:p w:rsidR="00A34CD2" w:rsidRDefault="006359F2" w:rsidP="00E47E1B">
      <w:pPr>
        <w:pStyle w:val="NoSpacing"/>
        <w:rPr>
          <w:rFonts w:ascii="Times New Roman" w:hAnsi="Times New Roman" w:cs="Times New Roman"/>
          <w:iCs/>
          <w:sz w:val="24"/>
          <w:szCs w:val="24"/>
        </w:rPr>
      </w:pPr>
      <w:r>
        <w:rPr>
          <w:rFonts w:ascii="Times New Roman" w:hAnsi="Times New Roman" w:cs="Times New Roman"/>
          <w:iCs/>
          <w:sz w:val="24"/>
          <w:szCs w:val="24"/>
        </w:rPr>
        <w:tab/>
        <w:t xml:space="preserve">Purposive analysis is a general mode of constitutional interpretation. It is a method by which an interpreter handles the task of gleaning the meaning of constitutional terms and norms. </w:t>
      </w:r>
      <w:r>
        <w:rPr>
          <w:rFonts w:ascii="Times New Roman" w:hAnsi="Times New Roman" w:cs="Times New Roman"/>
          <w:iCs/>
          <w:sz w:val="24"/>
          <w:szCs w:val="24"/>
        </w:rPr>
        <w:lastRenderedPageBreak/>
        <w:t xml:space="preserve">By “purposive,” I mean that the analyst openly and systemically inquires what substantive value or values underlie the decision to make property a constitutionally-protected right. An interpretation is purposive when the interpreter openly and systemically asks what is the core purpose (or what are the core purposes) that can most plausibly be attributed to a constitutional property clause.   </w:t>
      </w:r>
    </w:p>
    <w:p w:rsidR="00EE7E6B" w:rsidRDefault="00EE7E6B" w:rsidP="00E47E1B">
      <w:pPr>
        <w:pStyle w:val="NoSpacing"/>
        <w:rPr>
          <w:rFonts w:ascii="Times New Roman" w:hAnsi="Times New Roman" w:cs="Times New Roman"/>
          <w:iCs/>
          <w:sz w:val="24"/>
          <w:szCs w:val="24"/>
        </w:rPr>
      </w:pPr>
    </w:p>
    <w:p w:rsidR="00B1645E" w:rsidRDefault="00EE7E6B" w:rsidP="00E47E1B">
      <w:pPr>
        <w:pStyle w:val="NoSpacing"/>
        <w:rPr>
          <w:rFonts w:ascii="Times New Roman" w:hAnsi="Times New Roman" w:cs="Times New Roman"/>
          <w:iCs/>
          <w:sz w:val="24"/>
          <w:szCs w:val="24"/>
        </w:rPr>
      </w:pPr>
      <w:r>
        <w:rPr>
          <w:rFonts w:ascii="Times New Roman" w:hAnsi="Times New Roman" w:cs="Times New Roman"/>
          <w:iCs/>
          <w:sz w:val="24"/>
          <w:szCs w:val="24"/>
        </w:rPr>
        <w:tab/>
        <w:t xml:space="preserve">Within liberal theory there are, of course, competing views about the core goal of making property a constitutional right. Securing individual autonomy is one obvious candidate, but there are others as well. </w:t>
      </w:r>
      <w:r w:rsidR="004A76AA">
        <w:rPr>
          <w:rFonts w:ascii="Times New Roman" w:hAnsi="Times New Roman" w:cs="Times New Roman"/>
          <w:iCs/>
          <w:sz w:val="24"/>
          <w:szCs w:val="24"/>
        </w:rPr>
        <w:t>Indeed, one might plausibly conclude that a purposive theory of constitutional property that is most compatible with liberalism is one that is pluralist, recognizing multiple purposes inhering in the constitutional protection of property. The constitutional courts of Germany and South Africa have both engaged openly and systemically in this sort of purposive reasoning, and their experience points the way to an illuminating approach to constitutional property issues, including the public-use requirement.</w:t>
      </w:r>
      <w:r w:rsidR="00B1645E">
        <w:rPr>
          <w:rFonts w:ascii="Times New Roman" w:hAnsi="Times New Roman" w:cs="Times New Roman"/>
          <w:iCs/>
          <w:sz w:val="24"/>
          <w:szCs w:val="24"/>
        </w:rPr>
        <w:t xml:space="preserve"> Before examining their experience, I need first to a quite different form of analysis that might also be called purposive. This form of reasoning was by the American Supreme Court used in </w:t>
      </w:r>
      <w:proofErr w:type="spellStart"/>
      <w:r w:rsidR="00B1645E" w:rsidRPr="00B1645E">
        <w:rPr>
          <w:rFonts w:ascii="Times New Roman" w:hAnsi="Times New Roman" w:cs="Times New Roman"/>
          <w:i/>
          <w:iCs/>
          <w:sz w:val="24"/>
          <w:szCs w:val="24"/>
        </w:rPr>
        <w:t>Kelo</w:t>
      </w:r>
      <w:proofErr w:type="spellEnd"/>
      <w:r w:rsidR="00B1645E">
        <w:rPr>
          <w:rFonts w:ascii="Times New Roman" w:hAnsi="Times New Roman" w:cs="Times New Roman"/>
          <w:iCs/>
          <w:sz w:val="24"/>
          <w:szCs w:val="24"/>
        </w:rPr>
        <w:t>, and it contrasts in important respects with that used by the German and South African courts.</w:t>
      </w:r>
    </w:p>
    <w:p w:rsidR="00B1645E" w:rsidRDefault="00B1645E" w:rsidP="00E47E1B">
      <w:pPr>
        <w:pStyle w:val="NoSpacing"/>
        <w:rPr>
          <w:rFonts w:ascii="Times New Roman" w:hAnsi="Times New Roman" w:cs="Times New Roman"/>
          <w:iCs/>
          <w:sz w:val="24"/>
          <w:szCs w:val="24"/>
        </w:rPr>
      </w:pPr>
    </w:p>
    <w:p w:rsidR="00EE7E6B" w:rsidRDefault="00116ECC" w:rsidP="00E47E1B">
      <w:pPr>
        <w:pStyle w:val="NoSpacing"/>
        <w:rPr>
          <w:rFonts w:ascii="Times New Roman" w:hAnsi="Times New Roman" w:cs="Times New Roman"/>
          <w:iCs/>
          <w:sz w:val="24"/>
          <w:szCs w:val="24"/>
        </w:rPr>
      </w:pPr>
      <w:r>
        <w:rPr>
          <w:rFonts w:ascii="Times New Roman" w:hAnsi="Times New Roman" w:cs="Times New Roman"/>
          <w:iCs/>
          <w:sz w:val="24"/>
          <w:szCs w:val="24"/>
        </w:rPr>
        <w:tab/>
      </w:r>
      <w:r w:rsidR="00B21A17">
        <w:rPr>
          <w:rFonts w:ascii="Times New Roman" w:hAnsi="Times New Roman" w:cs="Times New Roman"/>
          <w:iCs/>
          <w:sz w:val="24"/>
          <w:szCs w:val="24"/>
        </w:rPr>
        <w:t>Characteristically of American courts in constitutional property cases, the Supreme Court in</w:t>
      </w:r>
      <w:r>
        <w:rPr>
          <w:rFonts w:ascii="Times New Roman" w:hAnsi="Times New Roman" w:cs="Times New Roman"/>
          <w:iCs/>
          <w:sz w:val="24"/>
          <w:szCs w:val="24"/>
        </w:rPr>
        <w:t xml:space="preserve"> </w:t>
      </w:r>
      <w:proofErr w:type="spellStart"/>
      <w:r w:rsidRPr="00116ECC">
        <w:rPr>
          <w:rFonts w:ascii="Times New Roman" w:hAnsi="Times New Roman" w:cs="Times New Roman"/>
          <w:i/>
          <w:iCs/>
          <w:sz w:val="24"/>
          <w:szCs w:val="24"/>
        </w:rPr>
        <w:t>Kelo</w:t>
      </w:r>
      <w:proofErr w:type="spellEnd"/>
      <w:r>
        <w:rPr>
          <w:rFonts w:ascii="Times New Roman" w:hAnsi="Times New Roman" w:cs="Times New Roman"/>
          <w:iCs/>
          <w:sz w:val="24"/>
          <w:szCs w:val="24"/>
        </w:rPr>
        <w:t xml:space="preserve"> </w:t>
      </w:r>
      <w:r w:rsidR="00B21A17">
        <w:rPr>
          <w:rFonts w:ascii="Times New Roman" w:hAnsi="Times New Roman" w:cs="Times New Roman"/>
          <w:iCs/>
          <w:sz w:val="24"/>
          <w:szCs w:val="24"/>
        </w:rPr>
        <w:t>(</w:t>
      </w:r>
      <w:r>
        <w:rPr>
          <w:rFonts w:ascii="Times New Roman" w:hAnsi="Times New Roman" w:cs="Times New Roman"/>
          <w:iCs/>
          <w:sz w:val="24"/>
          <w:szCs w:val="24"/>
        </w:rPr>
        <w:t xml:space="preserve">apart from its judicial deference rationale) </w:t>
      </w:r>
      <w:r w:rsidR="00B21A17">
        <w:rPr>
          <w:rFonts w:ascii="Times New Roman" w:hAnsi="Times New Roman" w:cs="Times New Roman"/>
          <w:iCs/>
          <w:sz w:val="24"/>
          <w:szCs w:val="24"/>
        </w:rPr>
        <w:t xml:space="preserve">was </w:t>
      </w:r>
      <w:r>
        <w:rPr>
          <w:rFonts w:ascii="Times New Roman" w:hAnsi="Times New Roman" w:cs="Times New Roman"/>
          <w:iCs/>
          <w:sz w:val="24"/>
          <w:szCs w:val="24"/>
        </w:rPr>
        <w:t>project</w:t>
      </w:r>
      <w:r w:rsidR="00B21A17">
        <w:rPr>
          <w:rFonts w:ascii="Times New Roman" w:hAnsi="Times New Roman" w:cs="Times New Roman"/>
          <w:iCs/>
          <w:sz w:val="24"/>
          <w:szCs w:val="24"/>
        </w:rPr>
        <w:t xml:space="preserve">-focused. That is, it examined </w:t>
      </w:r>
      <w:r>
        <w:rPr>
          <w:rFonts w:ascii="Times New Roman" w:hAnsi="Times New Roman" w:cs="Times New Roman"/>
          <w:iCs/>
          <w:sz w:val="24"/>
          <w:szCs w:val="24"/>
        </w:rPr>
        <w:t xml:space="preserve">the purposes or goals of the project in question, rather than the purposes of constitutional property itself. </w:t>
      </w:r>
      <w:r w:rsidR="00E57D63">
        <w:rPr>
          <w:rFonts w:ascii="Times New Roman" w:hAnsi="Times New Roman" w:cs="Times New Roman"/>
          <w:iCs/>
          <w:sz w:val="24"/>
          <w:szCs w:val="24"/>
        </w:rPr>
        <w:t xml:space="preserve">The Court asked whether economic development, the putative purpose of the city’s project in the case, created benefits that were sufficiently “public” to satisfy the public-use requirement despite incident private benefits. It then considered what those </w:t>
      </w:r>
      <w:r w:rsidR="00672C7B">
        <w:rPr>
          <w:rFonts w:ascii="Times New Roman" w:hAnsi="Times New Roman" w:cs="Times New Roman"/>
          <w:iCs/>
          <w:sz w:val="24"/>
          <w:szCs w:val="24"/>
        </w:rPr>
        <w:t>public benefits</w:t>
      </w:r>
      <w:r w:rsidR="00E57D63">
        <w:rPr>
          <w:rFonts w:ascii="Times New Roman" w:hAnsi="Times New Roman" w:cs="Times New Roman"/>
          <w:iCs/>
          <w:sz w:val="24"/>
          <w:szCs w:val="24"/>
        </w:rPr>
        <w:t xml:space="preserve"> were</w:t>
      </w:r>
      <w:r w:rsidR="00672C7B">
        <w:rPr>
          <w:rFonts w:ascii="Times New Roman" w:hAnsi="Times New Roman" w:cs="Times New Roman"/>
          <w:iCs/>
          <w:sz w:val="24"/>
          <w:szCs w:val="24"/>
        </w:rPr>
        <w:t>,</w:t>
      </w:r>
      <w:r w:rsidR="00E57D63">
        <w:rPr>
          <w:rFonts w:ascii="Times New Roman" w:hAnsi="Times New Roman" w:cs="Times New Roman"/>
          <w:iCs/>
          <w:sz w:val="24"/>
          <w:szCs w:val="24"/>
        </w:rPr>
        <w:t xml:space="preserve"> and </w:t>
      </w:r>
      <w:r w:rsidR="00672C7B">
        <w:rPr>
          <w:rFonts w:ascii="Times New Roman" w:hAnsi="Times New Roman" w:cs="Times New Roman"/>
          <w:iCs/>
          <w:sz w:val="24"/>
          <w:szCs w:val="24"/>
        </w:rPr>
        <w:t xml:space="preserve">then </w:t>
      </w:r>
      <w:r w:rsidR="00E57D63">
        <w:rPr>
          <w:rFonts w:ascii="Times New Roman" w:hAnsi="Times New Roman" w:cs="Times New Roman"/>
          <w:iCs/>
          <w:sz w:val="24"/>
          <w:szCs w:val="24"/>
        </w:rPr>
        <w:t xml:space="preserve">concluded that the character of the project’s purpose was, on balance, public. </w:t>
      </w:r>
    </w:p>
    <w:p w:rsidR="00206021" w:rsidRDefault="00206021" w:rsidP="00E47E1B">
      <w:pPr>
        <w:pStyle w:val="NoSpacing"/>
        <w:rPr>
          <w:rFonts w:ascii="Times New Roman" w:hAnsi="Times New Roman" w:cs="Times New Roman"/>
          <w:iCs/>
          <w:sz w:val="24"/>
          <w:szCs w:val="24"/>
        </w:rPr>
      </w:pPr>
    </w:p>
    <w:p w:rsidR="000162AF" w:rsidRDefault="00206021" w:rsidP="00E47E1B">
      <w:pPr>
        <w:pStyle w:val="NoSpacing"/>
        <w:rPr>
          <w:rFonts w:ascii="Times New Roman" w:hAnsi="Times New Roman" w:cs="Times New Roman"/>
          <w:iCs/>
          <w:sz w:val="24"/>
          <w:szCs w:val="24"/>
        </w:rPr>
      </w:pPr>
      <w:r>
        <w:rPr>
          <w:rFonts w:ascii="Times New Roman" w:hAnsi="Times New Roman" w:cs="Times New Roman"/>
          <w:iCs/>
          <w:sz w:val="24"/>
          <w:szCs w:val="24"/>
        </w:rPr>
        <w:tab/>
        <w:t xml:space="preserve">This is an unduly narrow approach to examining purposes. Obviously the project’s purposes are relevant, but they are not dispositive. A broader, more nuanced purposive analysis of the public-use requirement would begin with the basic purpose of that requirement itself ─ </w:t>
      </w:r>
      <w:r w:rsidRPr="00453F66">
        <w:rPr>
          <w:rFonts w:ascii="Times New Roman" w:hAnsi="Times New Roman" w:cs="Times New Roman"/>
          <w:i/>
          <w:iCs/>
          <w:sz w:val="24"/>
          <w:szCs w:val="24"/>
        </w:rPr>
        <w:t xml:space="preserve">to prevent the state from forcing sales of land in circumstances which would </w:t>
      </w:r>
      <w:r w:rsidR="00B62C9A">
        <w:rPr>
          <w:rFonts w:ascii="Times New Roman" w:hAnsi="Times New Roman" w:cs="Times New Roman"/>
          <w:i/>
          <w:iCs/>
          <w:sz w:val="24"/>
          <w:szCs w:val="24"/>
        </w:rPr>
        <w:t>sacrifice</w:t>
      </w:r>
      <w:r w:rsidRPr="00453F66">
        <w:rPr>
          <w:rFonts w:ascii="Times New Roman" w:hAnsi="Times New Roman" w:cs="Times New Roman"/>
          <w:i/>
          <w:iCs/>
          <w:sz w:val="24"/>
          <w:szCs w:val="24"/>
        </w:rPr>
        <w:t xml:space="preserve"> the values of </w:t>
      </w:r>
      <w:r w:rsidR="00453F66" w:rsidRPr="00453F66">
        <w:rPr>
          <w:rFonts w:ascii="Times New Roman" w:hAnsi="Times New Roman" w:cs="Times New Roman"/>
          <w:i/>
          <w:iCs/>
          <w:sz w:val="24"/>
          <w:szCs w:val="24"/>
        </w:rPr>
        <w:t xml:space="preserve">property as a legally-protected, especially </w:t>
      </w:r>
      <w:r w:rsidR="009C49F7">
        <w:rPr>
          <w:rFonts w:ascii="Times New Roman" w:hAnsi="Times New Roman" w:cs="Times New Roman"/>
          <w:i/>
          <w:iCs/>
          <w:sz w:val="24"/>
          <w:szCs w:val="24"/>
        </w:rPr>
        <w:t xml:space="preserve">as a </w:t>
      </w:r>
      <w:r w:rsidR="00453F66" w:rsidRPr="00453F66">
        <w:rPr>
          <w:rFonts w:ascii="Times New Roman" w:hAnsi="Times New Roman" w:cs="Times New Roman"/>
          <w:i/>
          <w:iCs/>
          <w:sz w:val="24"/>
          <w:szCs w:val="24"/>
        </w:rPr>
        <w:t>constitutionally-protected, interest</w:t>
      </w:r>
      <w:r w:rsidR="00453F66">
        <w:rPr>
          <w:rFonts w:ascii="Times New Roman" w:hAnsi="Times New Roman" w:cs="Times New Roman"/>
          <w:iCs/>
          <w:sz w:val="24"/>
          <w:szCs w:val="24"/>
        </w:rPr>
        <w:t xml:space="preserve">. </w:t>
      </w:r>
      <w:r w:rsidR="008A0C7C">
        <w:rPr>
          <w:rFonts w:ascii="Times New Roman" w:hAnsi="Times New Roman" w:cs="Times New Roman"/>
          <w:iCs/>
          <w:sz w:val="24"/>
          <w:szCs w:val="24"/>
        </w:rPr>
        <w:t xml:space="preserve">The public-use requirement does work that the compensation cannot do, and that is to assure </w:t>
      </w:r>
      <w:r w:rsidR="00B62C9A">
        <w:rPr>
          <w:rFonts w:ascii="Times New Roman" w:hAnsi="Times New Roman" w:cs="Times New Roman"/>
          <w:iCs/>
          <w:sz w:val="24"/>
          <w:szCs w:val="24"/>
        </w:rPr>
        <w:t xml:space="preserve">that the fundamental values that property rights serve </w:t>
      </w:r>
      <w:r w:rsidR="008E4F90">
        <w:rPr>
          <w:rFonts w:ascii="Times New Roman" w:hAnsi="Times New Roman" w:cs="Times New Roman"/>
          <w:iCs/>
          <w:sz w:val="24"/>
          <w:szCs w:val="24"/>
        </w:rPr>
        <w:t xml:space="preserve">are not sacrificed for the sake of promoting private interests. The public-use requirement represents a recognition that property’s core values are not compensable by monetary damages but can be adequately protected </w:t>
      </w:r>
      <w:r w:rsidR="00DF5175">
        <w:rPr>
          <w:rFonts w:ascii="Times New Roman" w:hAnsi="Times New Roman" w:cs="Times New Roman"/>
          <w:iCs/>
          <w:sz w:val="24"/>
          <w:szCs w:val="24"/>
        </w:rPr>
        <w:t xml:space="preserve">only </w:t>
      </w:r>
      <w:r w:rsidR="008E4F90">
        <w:rPr>
          <w:rFonts w:ascii="Times New Roman" w:hAnsi="Times New Roman" w:cs="Times New Roman"/>
          <w:iCs/>
          <w:sz w:val="24"/>
          <w:szCs w:val="24"/>
        </w:rPr>
        <w:t xml:space="preserve">by </w:t>
      </w:r>
      <w:r w:rsidR="00DF5175">
        <w:rPr>
          <w:rFonts w:ascii="Times New Roman" w:hAnsi="Times New Roman" w:cs="Times New Roman"/>
          <w:iCs/>
          <w:sz w:val="24"/>
          <w:szCs w:val="24"/>
        </w:rPr>
        <w:t>preventing the</w:t>
      </w:r>
      <w:r w:rsidR="008E4F90">
        <w:rPr>
          <w:rFonts w:ascii="Times New Roman" w:hAnsi="Times New Roman" w:cs="Times New Roman"/>
          <w:iCs/>
          <w:sz w:val="24"/>
          <w:szCs w:val="24"/>
        </w:rPr>
        <w:t xml:space="preserve"> state </w:t>
      </w:r>
      <w:r w:rsidR="00DF5175">
        <w:rPr>
          <w:rFonts w:ascii="Times New Roman" w:hAnsi="Times New Roman" w:cs="Times New Roman"/>
          <w:iCs/>
          <w:sz w:val="24"/>
          <w:szCs w:val="24"/>
        </w:rPr>
        <w:t>from acting in the first place</w:t>
      </w:r>
      <w:r w:rsidR="008E4F90">
        <w:rPr>
          <w:rFonts w:ascii="Times New Roman" w:hAnsi="Times New Roman" w:cs="Times New Roman"/>
          <w:iCs/>
          <w:sz w:val="24"/>
          <w:szCs w:val="24"/>
        </w:rPr>
        <w:t xml:space="preserve">. </w:t>
      </w:r>
      <w:r w:rsidR="000162AF">
        <w:rPr>
          <w:rFonts w:ascii="Times New Roman" w:hAnsi="Times New Roman" w:cs="Times New Roman"/>
          <w:iCs/>
          <w:sz w:val="24"/>
          <w:szCs w:val="24"/>
        </w:rPr>
        <w:t xml:space="preserve">In the terminology coined by </w:t>
      </w:r>
      <w:proofErr w:type="spellStart"/>
      <w:r w:rsidR="000162AF">
        <w:rPr>
          <w:rFonts w:ascii="Times New Roman" w:hAnsi="Times New Roman" w:cs="Times New Roman"/>
          <w:iCs/>
          <w:sz w:val="24"/>
          <w:szCs w:val="24"/>
        </w:rPr>
        <w:t>Calabresi</w:t>
      </w:r>
      <w:proofErr w:type="spellEnd"/>
      <w:r w:rsidR="000162AF">
        <w:rPr>
          <w:rFonts w:ascii="Times New Roman" w:hAnsi="Times New Roman" w:cs="Times New Roman"/>
          <w:iCs/>
          <w:sz w:val="24"/>
          <w:szCs w:val="24"/>
        </w:rPr>
        <w:t xml:space="preserve"> and </w:t>
      </w:r>
      <w:proofErr w:type="spellStart"/>
      <w:r w:rsidR="000162AF">
        <w:rPr>
          <w:rFonts w:ascii="Times New Roman" w:hAnsi="Times New Roman" w:cs="Times New Roman"/>
          <w:iCs/>
          <w:sz w:val="24"/>
          <w:szCs w:val="24"/>
        </w:rPr>
        <w:t>Melamed</w:t>
      </w:r>
      <w:proofErr w:type="spellEnd"/>
      <w:r w:rsidR="000162AF">
        <w:rPr>
          <w:rFonts w:ascii="Times New Roman" w:hAnsi="Times New Roman" w:cs="Times New Roman"/>
          <w:iCs/>
          <w:sz w:val="24"/>
          <w:szCs w:val="24"/>
        </w:rPr>
        <w:t>, property’s values can be protected against sacrifice for private benefits only through a “property rule” rather than a “liability rule.”</w:t>
      </w:r>
      <w:r w:rsidR="000162AF">
        <w:rPr>
          <w:rStyle w:val="FootnoteReference"/>
          <w:rFonts w:ascii="Times New Roman" w:hAnsi="Times New Roman" w:cs="Times New Roman"/>
          <w:iCs/>
          <w:sz w:val="24"/>
          <w:szCs w:val="24"/>
        </w:rPr>
        <w:footnoteReference w:id="36"/>
      </w:r>
    </w:p>
    <w:p w:rsidR="00646454" w:rsidRDefault="00646454" w:rsidP="00E47E1B">
      <w:pPr>
        <w:pStyle w:val="NoSpacing"/>
        <w:rPr>
          <w:rFonts w:ascii="Times New Roman" w:hAnsi="Times New Roman" w:cs="Times New Roman"/>
          <w:iCs/>
          <w:sz w:val="24"/>
          <w:szCs w:val="24"/>
        </w:rPr>
      </w:pPr>
    </w:p>
    <w:p w:rsidR="00646454" w:rsidRPr="007E4B6C" w:rsidRDefault="00646454" w:rsidP="007E4B6C">
      <w:pPr>
        <w:pStyle w:val="NoSpacing"/>
        <w:jc w:val="center"/>
        <w:rPr>
          <w:rFonts w:ascii="Times New Roman" w:hAnsi="Times New Roman" w:cs="Times New Roman"/>
          <w:iCs/>
          <w:sz w:val="24"/>
          <w:szCs w:val="24"/>
          <w:u w:val="single"/>
        </w:rPr>
      </w:pPr>
      <w:r w:rsidRPr="007E4B6C">
        <w:rPr>
          <w:rFonts w:ascii="Times New Roman" w:hAnsi="Times New Roman" w:cs="Times New Roman"/>
          <w:iCs/>
          <w:sz w:val="24"/>
          <w:szCs w:val="24"/>
          <w:u w:val="single"/>
        </w:rPr>
        <w:t>Property’s Values</w:t>
      </w:r>
    </w:p>
    <w:p w:rsidR="000162AF" w:rsidRDefault="000162AF" w:rsidP="00E47E1B">
      <w:pPr>
        <w:pStyle w:val="NoSpacing"/>
        <w:rPr>
          <w:rFonts w:ascii="Times New Roman" w:hAnsi="Times New Roman" w:cs="Times New Roman"/>
          <w:iCs/>
          <w:sz w:val="24"/>
          <w:szCs w:val="24"/>
        </w:rPr>
      </w:pPr>
    </w:p>
    <w:p w:rsidR="00206021" w:rsidRDefault="000162AF" w:rsidP="00E47E1B">
      <w:pPr>
        <w:pStyle w:val="NoSpacing"/>
        <w:rPr>
          <w:rFonts w:ascii="Times New Roman" w:hAnsi="Times New Roman" w:cs="Times New Roman"/>
          <w:sz w:val="24"/>
          <w:szCs w:val="24"/>
        </w:rPr>
      </w:pPr>
      <w:r>
        <w:rPr>
          <w:rFonts w:ascii="Times New Roman" w:hAnsi="Times New Roman" w:cs="Times New Roman"/>
          <w:iCs/>
          <w:sz w:val="24"/>
          <w:szCs w:val="24"/>
        </w:rPr>
        <w:tab/>
      </w:r>
      <w:r w:rsidR="008E4F90">
        <w:rPr>
          <w:rFonts w:ascii="Times New Roman" w:hAnsi="Times New Roman" w:cs="Times New Roman"/>
          <w:iCs/>
          <w:sz w:val="24"/>
          <w:szCs w:val="24"/>
        </w:rPr>
        <w:t xml:space="preserve">The work of protecting property’s core values requires close examination </w:t>
      </w:r>
      <w:r w:rsidR="00000059">
        <w:rPr>
          <w:rFonts w:ascii="Times New Roman" w:hAnsi="Times New Roman" w:cs="Times New Roman"/>
          <w:iCs/>
          <w:sz w:val="24"/>
          <w:szCs w:val="24"/>
        </w:rPr>
        <w:t>of just what th</w:t>
      </w:r>
      <w:r>
        <w:rPr>
          <w:rFonts w:ascii="Times New Roman" w:hAnsi="Times New Roman" w:cs="Times New Roman"/>
          <w:iCs/>
          <w:sz w:val="24"/>
          <w:szCs w:val="24"/>
        </w:rPr>
        <w:t>e</w:t>
      </w:r>
      <w:r w:rsidR="00000059">
        <w:rPr>
          <w:rFonts w:ascii="Times New Roman" w:hAnsi="Times New Roman" w:cs="Times New Roman"/>
          <w:iCs/>
          <w:sz w:val="24"/>
          <w:szCs w:val="24"/>
        </w:rPr>
        <w:t>se values are</w:t>
      </w:r>
      <w:r>
        <w:rPr>
          <w:rFonts w:ascii="Times New Roman" w:hAnsi="Times New Roman" w:cs="Times New Roman"/>
          <w:iCs/>
          <w:sz w:val="24"/>
          <w:szCs w:val="24"/>
        </w:rPr>
        <w:t xml:space="preserve"> and how they relate to the property interest immediately involved. </w:t>
      </w:r>
      <w:r w:rsidR="00364B9C">
        <w:rPr>
          <w:rFonts w:ascii="Times New Roman" w:hAnsi="Times New Roman" w:cs="Times New Roman"/>
          <w:sz w:val="24"/>
          <w:szCs w:val="24"/>
        </w:rPr>
        <w:t xml:space="preserve">Precisely what those values are is, of course, a highly contestable matter. I argue here that the best </w:t>
      </w:r>
      <w:r w:rsidR="00364B9C">
        <w:rPr>
          <w:rFonts w:ascii="Times New Roman" w:hAnsi="Times New Roman" w:cs="Times New Roman"/>
          <w:sz w:val="24"/>
          <w:szCs w:val="24"/>
        </w:rPr>
        <w:lastRenderedPageBreak/>
        <w:t>purposive account of property is one that expresses property’s values its terms of human flourishing, which, as we have seen, is itself a pluralistic concept that includes multiple values.</w:t>
      </w:r>
      <w:r w:rsidR="00033EAD">
        <w:rPr>
          <w:rFonts w:ascii="Times New Roman" w:hAnsi="Times New Roman" w:cs="Times New Roman"/>
          <w:sz w:val="24"/>
          <w:szCs w:val="24"/>
        </w:rPr>
        <w:t xml:space="preserve"> We can identify at least five private law values that are at the core of human flourishing and that are commonly considered to be among property’s main aims ― </w:t>
      </w:r>
      <w:r w:rsidR="00033EAD" w:rsidRPr="002445B3">
        <w:rPr>
          <w:rFonts w:ascii="Times New Roman" w:hAnsi="Times New Roman" w:cs="Times New Roman"/>
          <w:sz w:val="24"/>
          <w:szCs w:val="24"/>
        </w:rPr>
        <w:t>autonomy</w:t>
      </w:r>
      <w:r w:rsidR="00033EAD">
        <w:rPr>
          <w:rFonts w:ascii="Times New Roman" w:hAnsi="Times New Roman" w:cs="Times New Roman"/>
          <w:sz w:val="24"/>
          <w:szCs w:val="24"/>
        </w:rPr>
        <w:t xml:space="preserve">, personal security/privacy, self-determination, self-expression, and personal responsibility. Although this is by no means an exhaustive list, it captures those values that I take to be central to the instrumental fit between property and human flourishing. </w:t>
      </w:r>
    </w:p>
    <w:p w:rsidR="00203BB4" w:rsidRDefault="00203BB4" w:rsidP="00E47E1B">
      <w:pPr>
        <w:pStyle w:val="NoSpacing"/>
        <w:rPr>
          <w:rFonts w:ascii="Times New Roman" w:hAnsi="Times New Roman" w:cs="Times New Roman"/>
          <w:sz w:val="24"/>
          <w:szCs w:val="24"/>
        </w:rPr>
      </w:pPr>
    </w:p>
    <w:p w:rsidR="00203BB4" w:rsidRDefault="00203BB4" w:rsidP="00E47E1B">
      <w:pPr>
        <w:pStyle w:val="NoSpacing"/>
        <w:rPr>
          <w:rFonts w:ascii="Times New Roman" w:hAnsi="Times New Roman" w:cs="Times New Roman"/>
          <w:sz w:val="24"/>
          <w:szCs w:val="24"/>
        </w:rPr>
      </w:pPr>
      <w:r>
        <w:rPr>
          <w:rFonts w:ascii="Times New Roman" w:hAnsi="Times New Roman" w:cs="Times New Roman"/>
          <w:sz w:val="24"/>
          <w:szCs w:val="24"/>
        </w:rPr>
        <w:tab/>
      </w:r>
      <w:r w:rsidRPr="00176534">
        <w:rPr>
          <w:rFonts w:ascii="Times New Roman" w:hAnsi="Times New Roman" w:cs="Times New Roman"/>
          <w:i/>
          <w:sz w:val="24"/>
          <w:szCs w:val="24"/>
        </w:rPr>
        <w:t>Autonomy</w:t>
      </w:r>
      <w:r>
        <w:rPr>
          <w:rFonts w:ascii="Times New Roman" w:hAnsi="Times New Roman" w:cs="Times New Roman"/>
          <w:sz w:val="24"/>
          <w:szCs w:val="24"/>
        </w:rPr>
        <w:t xml:space="preserve"> will perhaps be the least controversial of the five values that I identify as private values that are property’s ends. Many, if not most, property theorists identify individual autonomy as an important value that property serves. Among property theorists, some, notably libertarians and Kantians, place autonomy at the core of property’s raison d’être. But even those who do not view autonomy as the foundational end of property still view it as an important aspect of the justification for private property rights. </w:t>
      </w:r>
      <w:r>
        <w:rPr>
          <w:rStyle w:val="FootnoteReference"/>
          <w:rFonts w:ascii="Times New Roman" w:hAnsi="Times New Roman" w:cs="Times New Roman"/>
          <w:sz w:val="24"/>
          <w:szCs w:val="24"/>
        </w:rPr>
        <w:footnoteReference w:id="37"/>
      </w:r>
    </w:p>
    <w:p w:rsidR="000775F4" w:rsidRDefault="000775F4" w:rsidP="00E47E1B">
      <w:pPr>
        <w:pStyle w:val="NoSpacing"/>
        <w:rPr>
          <w:rFonts w:ascii="Times New Roman" w:hAnsi="Times New Roman" w:cs="Times New Roman"/>
          <w:sz w:val="24"/>
          <w:szCs w:val="24"/>
        </w:rPr>
      </w:pPr>
    </w:p>
    <w:p w:rsidR="00E90A62" w:rsidRDefault="000775F4" w:rsidP="00E90A62">
      <w:pPr>
        <w:pStyle w:val="NoSpacing"/>
        <w:rPr>
          <w:rFonts w:ascii="Times New Roman" w:hAnsi="Times New Roman" w:cs="Times New Roman"/>
          <w:sz w:val="24"/>
          <w:szCs w:val="24"/>
        </w:rPr>
      </w:pPr>
      <w:r>
        <w:rPr>
          <w:rFonts w:ascii="Times New Roman" w:hAnsi="Times New Roman" w:cs="Times New Roman"/>
          <w:sz w:val="24"/>
          <w:szCs w:val="24"/>
        </w:rPr>
        <w:tab/>
      </w:r>
      <w:r w:rsidRPr="0021327B">
        <w:rPr>
          <w:rFonts w:ascii="Times New Roman" w:hAnsi="Times New Roman" w:cs="Times New Roman"/>
          <w:i/>
          <w:sz w:val="24"/>
          <w:szCs w:val="24"/>
        </w:rPr>
        <w:t>Personal security</w:t>
      </w:r>
      <w:r>
        <w:rPr>
          <w:rFonts w:ascii="Times New Roman" w:hAnsi="Times New Roman" w:cs="Times New Roman"/>
          <w:sz w:val="24"/>
          <w:szCs w:val="24"/>
        </w:rPr>
        <w:t xml:space="preserve"> is the second core goal. Property, it has long been thought, provides a person a safe haven.</w:t>
      </w:r>
      <w:r>
        <w:rPr>
          <w:rStyle w:val="FootnoteReference"/>
          <w:rFonts w:ascii="Times New Roman" w:hAnsi="Times New Roman" w:cs="Times New Roman"/>
          <w:sz w:val="24"/>
          <w:szCs w:val="24"/>
        </w:rPr>
        <w:footnoteReference w:id="38"/>
      </w:r>
      <w:r>
        <w:rPr>
          <w:rFonts w:ascii="Times New Roman" w:hAnsi="Times New Roman" w:cs="Times New Roman"/>
          <w:sz w:val="24"/>
          <w:szCs w:val="24"/>
        </w:rPr>
        <w:t xml:space="preserve"> </w:t>
      </w:r>
      <w:r w:rsidR="00222977">
        <w:rPr>
          <w:rFonts w:ascii="Times New Roman" w:hAnsi="Times New Roman" w:cs="Times New Roman"/>
          <w:sz w:val="24"/>
          <w:szCs w:val="24"/>
        </w:rPr>
        <w:t>As Jeremy Waldron observes, “Humans need a refuge from the general society of mankind.”</w:t>
      </w:r>
      <w:r w:rsidR="00222977">
        <w:rPr>
          <w:rStyle w:val="FootnoteReference"/>
          <w:rFonts w:ascii="Times New Roman" w:hAnsi="Times New Roman" w:cs="Times New Roman"/>
          <w:sz w:val="24"/>
          <w:szCs w:val="24"/>
        </w:rPr>
        <w:footnoteReference w:id="39"/>
      </w:r>
      <w:r w:rsidR="00222977">
        <w:rPr>
          <w:rFonts w:ascii="Times New Roman" w:hAnsi="Times New Roman" w:cs="Times New Roman"/>
          <w:sz w:val="24"/>
          <w:szCs w:val="24"/>
        </w:rPr>
        <w:t xml:space="preserve"> </w:t>
      </w:r>
      <w:r w:rsidR="00E90A62">
        <w:rPr>
          <w:rFonts w:ascii="Times New Roman" w:hAnsi="Times New Roman" w:cs="Times New Roman"/>
          <w:sz w:val="24"/>
          <w:szCs w:val="24"/>
        </w:rPr>
        <w:t xml:space="preserve">Property, especially landed property, supposedly provides that refuge to its owners.  </w:t>
      </w:r>
    </w:p>
    <w:p w:rsidR="00C03F33" w:rsidRDefault="00C03F33" w:rsidP="00E90A62">
      <w:pPr>
        <w:pStyle w:val="NoSpacing"/>
        <w:rPr>
          <w:rFonts w:ascii="Times New Roman" w:hAnsi="Times New Roman" w:cs="Times New Roman"/>
          <w:sz w:val="24"/>
          <w:szCs w:val="24"/>
        </w:rPr>
      </w:pPr>
    </w:p>
    <w:p w:rsidR="00C03F33" w:rsidRDefault="00C03F33" w:rsidP="00E90A62">
      <w:pPr>
        <w:pStyle w:val="NoSpacing"/>
        <w:rPr>
          <w:rFonts w:ascii="Times New Roman" w:hAnsi="Times New Roman" w:cs="Times New Roman"/>
          <w:sz w:val="24"/>
          <w:szCs w:val="24"/>
        </w:rPr>
      </w:pPr>
      <w:r>
        <w:rPr>
          <w:rFonts w:ascii="Times New Roman" w:hAnsi="Times New Roman" w:cs="Times New Roman"/>
          <w:sz w:val="24"/>
          <w:szCs w:val="24"/>
        </w:rPr>
        <w:tab/>
        <w:t xml:space="preserve">An important aspect of the security that is thought to result from private ownership of property is privacy. The connection between privacy and property is familiar, of course. The home, for example, is perhaps the most familiar nexus between property and privacy. Indeed, the home is the </w:t>
      </w:r>
      <w:r w:rsidRPr="008478C9">
        <w:rPr>
          <w:rFonts w:ascii="Times New Roman" w:hAnsi="Times New Roman" w:cs="Times New Roman"/>
          <w:i/>
          <w:sz w:val="24"/>
          <w:szCs w:val="24"/>
        </w:rPr>
        <w:t xml:space="preserve">locus </w:t>
      </w:r>
      <w:proofErr w:type="spellStart"/>
      <w:r w:rsidRPr="008478C9">
        <w:rPr>
          <w:rFonts w:ascii="Times New Roman" w:hAnsi="Times New Roman" w:cs="Times New Roman"/>
          <w:i/>
          <w:sz w:val="24"/>
          <w:szCs w:val="24"/>
        </w:rPr>
        <w:t>classicus</w:t>
      </w:r>
      <w:proofErr w:type="spellEnd"/>
      <w:r>
        <w:rPr>
          <w:rFonts w:ascii="Times New Roman" w:hAnsi="Times New Roman" w:cs="Times New Roman"/>
          <w:sz w:val="24"/>
          <w:szCs w:val="24"/>
        </w:rPr>
        <w:t xml:space="preserve"> linking property, security, and privacy with autonomy (or freedom).</w:t>
      </w:r>
      <w:r>
        <w:rPr>
          <w:rStyle w:val="FootnoteReference"/>
          <w:rFonts w:ascii="Times New Roman" w:hAnsi="Times New Roman" w:cs="Times New Roman"/>
          <w:sz w:val="24"/>
          <w:szCs w:val="24"/>
        </w:rPr>
        <w:footnoteReference w:id="40"/>
      </w:r>
    </w:p>
    <w:p w:rsidR="00CC77AE" w:rsidRDefault="00CC77AE" w:rsidP="00E90A62">
      <w:pPr>
        <w:pStyle w:val="NoSpacing"/>
        <w:rPr>
          <w:rFonts w:ascii="Times New Roman" w:hAnsi="Times New Roman" w:cs="Times New Roman"/>
          <w:sz w:val="24"/>
          <w:szCs w:val="24"/>
        </w:rPr>
      </w:pPr>
    </w:p>
    <w:p w:rsidR="00CC77AE" w:rsidRDefault="00CC77AE" w:rsidP="00E90A62">
      <w:pPr>
        <w:pStyle w:val="NoSpacing"/>
        <w:rPr>
          <w:rFonts w:ascii="Times New Roman" w:hAnsi="Times New Roman" w:cs="Times New Roman"/>
          <w:sz w:val="24"/>
          <w:szCs w:val="24"/>
        </w:rPr>
      </w:pPr>
      <w:r>
        <w:rPr>
          <w:rFonts w:ascii="Times New Roman" w:hAnsi="Times New Roman" w:cs="Times New Roman"/>
          <w:sz w:val="24"/>
          <w:szCs w:val="24"/>
        </w:rPr>
        <w:tab/>
        <w:t xml:space="preserve">A third value underlying property is </w:t>
      </w:r>
      <w:r w:rsidRPr="0021327B">
        <w:rPr>
          <w:rFonts w:ascii="Times New Roman" w:hAnsi="Times New Roman" w:cs="Times New Roman"/>
          <w:i/>
          <w:sz w:val="24"/>
          <w:szCs w:val="24"/>
        </w:rPr>
        <w:t>self-determination</w:t>
      </w:r>
      <w:r>
        <w:rPr>
          <w:rFonts w:ascii="Times New Roman" w:hAnsi="Times New Roman" w:cs="Times New Roman"/>
          <w:sz w:val="24"/>
          <w:szCs w:val="24"/>
        </w:rPr>
        <w:t xml:space="preserve">. </w:t>
      </w:r>
      <w:r w:rsidR="00430E87">
        <w:rPr>
          <w:rFonts w:ascii="Times New Roman" w:hAnsi="Times New Roman" w:cs="Times New Roman"/>
          <w:sz w:val="24"/>
          <w:szCs w:val="24"/>
        </w:rPr>
        <w:t>Self-determination is “a power to act from determinate ends that are themselves coherent expressions of freedom because they are neither adopted unreflectively nor imposed by an external will.”</w:t>
      </w:r>
      <w:r w:rsidR="00430E87">
        <w:rPr>
          <w:rStyle w:val="FootnoteReference"/>
          <w:rFonts w:ascii="Times New Roman" w:hAnsi="Times New Roman" w:cs="Times New Roman"/>
          <w:sz w:val="24"/>
          <w:szCs w:val="24"/>
        </w:rPr>
        <w:footnoteReference w:id="41"/>
      </w:r>
      <w:r w:rsidR="00B069A0">
        <w:rPr>
          <w:rFonts w:ascii="Times New Roman" w:hAnsi="Times New Roman" w:cs="Times New Roman"/>
          <w:sz w:val="24"/>
          <w:szCs w:val="24"/>
        </w:rPr>
        <w:t xml:space="preserve"> Here is another brief explanation: “When we . . . view[] our desires as material to be regulated and ordered in line with desires of a high order still (for example the desire not to be the kind of person we see ourselves being or becoming) we reach a clearer understanding of the slippery concept of self-determination.”</w:t>
      </w:r>
      <w:r w:rsidR="00B069A0">
        <w:rPr>
          <w:rStyle w:val="FootnoteReference"/>
          <w:rFonts w:ascii="Times New Roman" w:hAnsi="Times New Roman" w:cs="Times New Roman"/>
          <w:sz w:val="24"/>
          <w:szCs w:val="24"/>
        </w:rPr>
        <w:footnoteReference w:id="42"/>
      </w:r>
    </w:p>
    <w:p w:rsidR="007D1887" w:rsidRDefault="007D1887" w:rsidP="00E90A62">
      <w:pPr>
        <w:pStyle w:val="NoSpacing"/>
        <w:rPr>
          <w:rFonts w:ascii="Times New Roman" w:hAnsi="Times New Roman" w:cs="Times New Roman"/>
          <w:sz w:val="24"/>
          <w:szCs w:val="24"/>
        </w:rPr>
      </w:pPr>
    </w:p>
    <w:p w:rsidR="007D1887" w:rsidRDefault="007D1887" w:rsidP="00E90A62">
      <w:pPr>
        <w:pStyle w:val="NoSpacing"/>
        <w:rPr>
          <w:rFonts w:ascii="Times New Roman" w:hAnsi="Times New Roman" w:cs="Times New Roman"/>
          <w:sz w:val="24"/>
          <w:szCs w:val="24"/>
        </w:rPr>
      </w:pPr>
      <w:r>
        <w:rPr>
          <w:rFonts w:ascii="Times New Roman" w:hAnsi="Times New Roman" w:cs="Times New Roman"/>
          <w:sz w:val="24"/>
          <w:szCs w:val="24"/>
        </w:rPr>
        <w:tab/>
        <w:t>The connection between this understanding of self-determination and property comes through in the notion of ordering our desires. Because we live in communities with others, we will use our property in pursuing our considered goals, but we do so in full recognition of others’ legitimate claims to respect</w:t>
      </w:r>
      <w:r w:rsidR="0073511D">
        <w:rPr>
          <w:rFonts w:ascii="Times New Roman" w:hAnsi="Times New Roman" w:cs="Times New Roman"/>
          <w:sz w:val="24"/>
          <w:szCs w:val="24"/>
        </w:rPr>
        <w:t>.</w:t>
      </w:r>
      <w:r w:rsidR="0073511D">
        <w:rPr>
          <w:rStyle w:val="FootnoteReference"/>
          <w:rFonts w:ascii="Times New Roman" w:hAnsi="Times New Roman" w:cs="Times New Roman"/>
          <w:sz w:val="24"/>
          <w:szCs w:val="24"/>
        </w:rPr>
        <w:footnoteReference w:id="43"/>
      </w:r>
      <w:r w:rsidR="0073511D">
        <w:rPr>
          <w:rFonts w:ascii="Times New Roman" w:hAnsi="Times New Roman" w:cs="Times New Roman"/>
          <w:sz w:val="24"/>
          <w:szCs w:val="24"/>
        </w:rPr>
        <w:t xml:space="preserve"> Ordering our desires also means that in pursuing our goals through </w:t>
      </w:r>
      <w:r w:rsidR="0073511D">
        <w:rPr>
          <w:rFonts w:ascii="Times New Roman" w:hAnsi="Times New Roman" w:cs="Times New Roman"/>
          <w:sz w:val="24"/>
          <w:szCs w:val="24"/>
        </w:rPr>
        <w:lastRenderedPageBreak/>
        <w:t>property, we will develop and rely on a system of norms regulating the scope of property rights.</w:t>
      </w:r>
      <w:r w:rsidR="0073511D">
        <w:rPr>
          <w:rStyle w:val="FootnoteReference"/>
          <w:rFonts w:ascii="Times New Roman" w:hAnsi="Times New Roman" w:cs="Times New Roman"/>
          <w:sz w:val="24"/>
          <w:szCs w:val="24"/>
        </w:rPr>
        <w:footnoteReference w:id="44"/>
      </w:r>
    </w:p>
    <w:p w:rsidR="0021327B" w:rsidRDefault="0021327B" w:rsidP="00E90A62">
      <w:pPr>
        <w:pStyle w:val="NoSpacing"/>
        <w:rPr>
          <w:rFonts w:ascii="Times New Roman" w:hAnsi="Times New Roman" w:cs="Times New Roman"/>
          <w:sz w:val="24"/>
          <w:szCs w:val="24"/>
        </w:rPr>
      </w:pPr>
    </w:p>
    <w:p w:rsidR="0021327B" w:rsidRDefault="0021327B" w:rsidP="0021327B">
      <w:pPr>
        <w:pStyle w:val="NoSpacing"/>
        <w:rPr>
          <w:rFonts w:ascii="Times New Roman" w:hAnsi="Times New Roman" w:cs="Times New Roman"/>
          <w:sz w:val="24"/>
          <w:szCs w:val="24"/>
        </w:rPr>
      </w:pPr>
      <w:r>
        <w:rPr>
          <w:rFonts w:ascii="Times New Roman" w:hAnsi="Times New Roman" w:cs="Times New Roman"/>
          <w:sz w:val="24"/>
          <w:szCs w:val="24"/>
        </w:rPr>
        <w:tab/>
        <w:t xml:space="preserve">The point to emphasize about this approach to self-determination is how social it is. Self-determination cannot occur </w:t>
      </w:r>
      <w:proofErr w:type="spellStart"/>
      <w:r>
        <w:rPr>
          <w:rFonts w:ascii="Times New Roman" w:hAnsi="Times New Roman" w:cs="Times New Roman"/>
          <w:sz w:val="24"/>
          <w:szCs w:val="24"/>
        </w:rPr>
        <w:t>atomistically</w:t>
      </w:r>
      <w:proofErr w:type="spellEnd"/>
      <w:r>
        <w:rPr>
          <w:rFonts w:ascii="Times New Roman" w:hAnsi="Times New Roman" w:cs="Times New Roman"/>
          <w:sz w:val="24"/>
          <w:szCs w:val="24"/>
        </w:rPr>
        <w:t xml:space="preserve"> or in isolation from society. Self-determination is a process that is deeply dependent upon community for its higher and higher realization.</w:t>
      </w:r>
    </w:p>
    <w:p w:rsidR="0021327B" w:rsidRDefault="0021327B" w:rsidP="0021327B">
      <w:pPr>
        <w:pStyle w:val="NoSpacing"/>
        <w:rPr>
          <w:rFonts w:ascii="Times New Roman" w:hAnsi="Times New Roman" w:cs="Times New Roman"/>
          <w:sz w:val="24"/>
          <w:szCs w:val="24"/>
        </w:rPr>
      </w:pPr>
    </w:p>
    <w:p w:rsidR="0021327B" w:rsidRDefault="0021327B" w:rsidP="0021327B">
      <w:pPr>
        <w:pStyle w:val="NoSpacing"/>
        <w:rPr>
          <w:rFonts w:ascii="Times New Roman" w:hAnsi="Times New Roman" w:cs="Times New Roman"/>
          <w:sz w:val="24"/>
          <w:szCs w:val="24"/>
        </w:rPr>
      </w:pPr>
      <w:r>
        <w:rPr>
          <w:rFonts w:ascii="Times New Roman" w:hAnsi="Times New Roman" w:cs="Times New Roman"/>
          <w:sz w:val="24"/>
          <w:szCs w:val="24"/>
        </w:rPr>
        <w:tab/>
        <w:t xml:space="preserve">The fourth value of property is </w:t>
      </w:r>
      <w:r w:rsidRPr="0021327B">
        <w:rPr>
          <w:rFonts w:ascii="Times New Roman" w:hAnsi="Times New Roman" w:cs="Times New Roman"/>
          <w:i/>
          <w:sz w:val="24"/>
          <w:szCs w:val="24"/>
        </w:rPr>
        <w:t>self-expression</w:t>
      </w:r>
      <w:r>
        <w:rPr>
          <w:rFonts w:ascii="Times New Roman" w:hAnsi="Times New Roman" w:cs="Times New Roman"/>
          <w:sz w:val="24"/>
          <w:szCs w:val="24"/>
        </w:rPr>
        <w:t xml:space="preserve">. By “self-expression,” I mean to include a capacious range of forms and senses </w:t>
      </w:r>
      <w:r w:rsidR="0009796D">
        <w:rPr>
          <w:rFonts w:ascii="Times New Roman" w:hAnsi="Times New Roman" w:cs="Times New Roman"/>
          <w:sz w:val="24"/>
          <w:szCs w:val="24"/>
        </w:rPr>
        <w:t>by</w:t>
      </w:r>
      <w:r>
        <w:rPr>
          <w:rFonts w:ascii="Times New Roman" w:hAnsi="Times New Roman" w:cs="Times New Roman"/>
          <w:sz w:val="24"/>
          <w:szCs w:val="24"/>
        </w:rPr>
        <w:t xml:space="preserve"> which people assert </w:t>
      </w:r>
      <w:r w:rsidR="00DC21E7">
        <w:rPr>
          <w:rFonts w:ascii="Times New Roman" w:hAnsi="Times New Roman" w:cs="Times New Roman"/>
          <w:sz w:val="24"/>
          <w:szCs w:val="24"/>
        </w:rPr>
        <w:t>who they are, what they desire, and so on</w:t>
      </w:r>
      <w:r>
        <w:rPr>
          <w:rFonts w:ascii="Times New Roman" w:hAnsi="Times New Roman" w:cs="Times New Roman"/>
          <w:sz w:val="24"/>
          <w:szCs w:val="24"/>
        </w:rPr>
        <w:t xml:space="preserve">. </w:t>
      </w:r>
      <w:r w:rsidR="003C6C6B">
        <w:rPr>
          <w:rFonts w:ascii="Times New Roman" w:hAnsi="Times New Roman" w:cs="Times New Roman"/>
          <w:sz w:val="24"/>
          <w:szCs w:val="24"/>
        </w:rPr>
        <w:t>Possession is one of property’s techniques of self-expression. As Carol Rose reminds us, possession constitutes a mode of communication.</w:t>
      </w:r>
      <w:r w:rsidR="003C6C6B">
        <w:rPr>
          <w:rStyle w:val="FootnoteReference"/>
          <w:rFonts w:ascii="Times New Roman" w:hAnsi="Times New Roman" w:cs="Times New Roman"/>
          <w:sz w:val="24"/>
          <w:szCs w:val="24"/>
        </w:rPr>
        <w:footnoteReference w:id="45"/>
      </w:r>
      <w:r w:rsidR="003C6C6B">
        <w:rPr>
          <w:rFonts w:ascii="Times New Roman" w:hAnsi="Times New Roman" w:cs="Times New Roman"/>
          <w:sz w:val="24"/>
          <w:szCs w:val="24"/>
        </w:rPr>
        <w:t xml:space="preserve"> “Possession as the basis of property ownership,” Rose suggests, “seems to amount to something like yelling loudly enough for all who may be interested.”</w:t>
      </w:r>
      <w:r w:rsidR="003C6C6B">
        <w:rPr>
          <w:rStyle w:val="FootnoteReference"/>
          <w:rFonts w:ascii="Times New Roman" w:hAnsi="Times New Roman" w:cs="Times New Roman"/>
          <w:sz w:val="24"/>
          <w:szCs w:val="24"/>
        </w:rPr>
        <w:footnoteReference w:id="46"/>
      </w:r>
      <w:r w:rsidR="00153691">
        <w:rPr>
          <w:rFonts w:ascii="Times New Roman" w:hAnsi="Times New Roman" w:cs="Times New Roman"/>
          <w:sz w:val="24"/>
          <w:szCs w:val="24"/>
        </w:rPr>
        <w:t xml:space="preserve"> It is a matter of communicating a claim in a particular sort of way, a mode of expression that carries a great deal of meaning regarding the claimant’s psychological attachment to the object in question.</w:t>
      </w:r>
    </w:p>
    <w:p w:rsidR="006918FC" w:rsidRDefault="006918FC" w:rsidP="0021327B">
      <w:pPr>
        <w:pStyle w:val="NoSpacing"/>
        <w:rPr>
          <w:rFonts w:ascii="Times New Roman" w:hAnsi="Times New Roman" w:cs="Times New Roman"/>
          <w:sz w:val="24"/>
          <w:szCs w:val="24"/>
        </w:rPr>
      </w:pPr>
    </w:p>
    <w:p w:rsidR="006918FC" w:rsidRDefault="006918FC" w:rsidP="0021327B">
      <w:pPr>
        <w:pStyle w:val="NoSpacing"/>
        <w:rPr>
          <w:rFonts w:ascii="Times New Roman" w:hAnsi="Times New Roman" w:cs="Times New Roman"/>
          <w:sz w:val="24"/>
          <w:szCs w:val="24"/>
        </w:rPr>
      </w:pPr>
      <w:r>
        <w:rPr>
          <w:rFonts w:ascii="Times New Roman" w:hAnsi="Times New Roman" w:cs="Times New Roman"/>
          <w:sz w:val="24"/>
          <w:szCs w:val="24"/>
        </w:rPr>
        <w:tab/>
      </w:r>
      <w:r w:rsidRPr="006918FC">
        <w:rPr>
          <w:rFonts w:ascii="Times New Roman" w:hAnsi="Times New Roman" w:cs="Times New Roman"/>
          <w:i/>
          <w:sz w:val="24"/>
          <w:szCs w:val="24"/>
        </w:rPr>
        <w:t>Responsibility</w:t>
      </w:r>
      <w:r>
        <w:rPr>
          <w:rFonts w:ascii="Times New Roman" w:hAnsi="Times New Roman" w:cs="Times New Roman"/>
          <w:sz w:val="24"/>
          <w:szCs w:val="24"/>
        </w:rPr>
        <w:t xml:space="preserve"> is the final value of property that I shall identify. </w:t>
      </w:r>
      <w:r w:rsidR="0071161B">
        <w:rPr>
          <w:rFonts w:ascii="Times New Roman" w:hAnsi="Times New Roman" w:cs="Times New Roman"/>
          <w:sz w:val="24"/>
          <w:szCs w:val="24"/>
        </w:rPr>
        <w:t>The connection between property ownership and personal responsibility can be developed on the basis of diverse strands of thought. One is the tradition of positive liberty.</w:t>
      </w:r>
      <w:r w:rsidR="006266F4">
        <w:rPr>
          <w:rStyle w:val="FootnoteReference"/>
          <w:rFonts w:ascii="Times New Roman" w:hAnsi="Times New Roman" w:cs="Times New Roman"/>
          <w:sz w:val="24"/>
          <w:szCs w:val="24"/>
        </w:rPr>
        <w:footnoteReference w:id="47"/>
      </w:r>
      <w:r w:rsidR="008D2911">
        <w:rPr>
          <w:rFonts w:ascii="Times New Roman" w:hAnsi="Times New Roman" w:cs="Times New Roman"/>
          <w:sz w:val="24"/>
          <w:szCs w:val="24"/>
        </w:rPr>
        <w:t xml:space="preserve"> From this perspective a person is not truly free until his desires, plans, and goals are stabilized so that there is continuity between the plans and actions of his past and those of his future.</w:t>
      </w:r>
      <w:r w:rsidR="006E00C1">
        <w:rPr>
          <w:rStyle w:val="FootnoteReference"/>
          <w:rFonts w:ascii="Times New Roman" w:hAnsi="Times New Roman" w:cs="Times New Roman"/>
          <w:sz w:val="24"/>
          <w:szCs w:val="24"/>
        </w:rPr>
        <w:footnoteReference w:id="48"/>
      </w:r>
      <w:r w:rsidR="001966E8">
        <w:rPr>
          <w:rFonts w:ascii="Times New Roman" w:hAnsi="Times New Roman" w:cs="Times New Roman"/>
          <w:sz w:val="24"/>
          <w:szCs w:val="24"/>
        </w:rPr>
        <w:t xml:space="preserve"> The person who acts on the basis of whim, who flits from one impulse to another, is not truly free but instead is a hostage to such unstable urges. Such a person has no real sense of enduring identity. Even his moral agency is subject to doubt.</w:t>
      </w:r>
      <w:r w:rsidR="0062274B">
        <w:rPr>
          <w:rFonts w:ascii="Times New Roman" w:hAnsi="Times New Roman" w:cs="Times New Roman"/>
          <w:sz w:val="24"/>
          <w:szCs w:val="24"/>
        </w:rPr>
        <w:t xml:space="preserve"> Private ownership of property, the argument goes, fosters a deeper sense of freedom by stabilizing a person in particular ways. The idea is that a regime of private ownership inculcates in individuals a sense of personal responsibility because they realize that they must effectively manage their own property if they are to satisfy their own needs. Through ownership individuals acquire not only certain skills but, more important, particular habits of thought ― forward-looking, calculating, and mindful of alternatives ― that free them from caprice and whim and give them an understanding of what T.H. Green called the “permanent good.”</w:t>
      </w:r>
      <w:r w:rsidR="00F64E68">
        <w:rPr>
          <w:rStyle w:val="FootnoteReference"/>
          <w:rFonts w:ascii="Times New Roman" w:hAnsi="Times New Roman" w:cs="Times New Roman"/>
          <w:sz w:val="24"/>
          <w:szCs w:val="24"/>
        </w:rPr>
        <w:footnoteReference w:id="49"/>
      </w:r>
    </w:p>
    <w:p w:rsidR="005267F3" w:rsidRDefault="005267F3" w:rsidP="0021327B">
      <w:pPr>
        <w:pStyle w:val="NoSpacing"/>
        <w:rPr>
          <w:rFonts w:ascii="Times New Roman" w:hAnsi="Times New Roman" w:cs="Times New Roman"/>
          <w:sz w:val="24"/>
          <w:szCs w:val="24"/>
        </w:rPr>
      </w:pPr>
    </w:p>
    <w:p w:rsidR="005267F3" w:rsidRDefault="005267F3" w:rsidP="0021327B">
      <w:pPr>
        <w:pStyle w:val="NoSpacing"/>
        <w:rPr>
          <w:rFonts w:ascii="Times New Roman" w:hAnsi="Times New Roman" w:cs="Times New Roman"/>
          <w:sz w:val="24"/>
          <w:szCs w:val="24"/>
        </w:rPr>
      </w:pPr>
      <w:r>
        <w:rPr>
          <w:rFonts w:ascii="Times New Roman" w:hAnsi="Times New Roman" w:cs="Times New Roman"/>
          <w:sz w:val="24"/>
          <w:szCs w:val="24"/>
        </w:rPr>
        <w:tab/>
        <w:t>Another strand of thought connecting property with responsibility focuses less on responsibility to oneself than responsibility to others. There is a very old tradition of property theory that is concerned with the responsibilities that individual owners owe to their societies. Connected with ideas of ownership (especially of land) as stewardship, the tradition dates back at least to Biblical texts.</w:t>
      </w:r>
      <w:r w:rsidR="00253033">
        <w:rPr>
          <w:rStyle w:val="FootnoteReference"/>
          <w:rFonts w:ascii="Times New Roman" w:hAnsi="Times New Roman" w:cs="Times New Roman"/>
          <w:sz w:val="24"/>
          <w:szCs w:val="24"/>
        </w:rPr>
        <w:footnoteReference w:id="50"/>
      </w:r>
      <w:r w:rsidR="00C91DD7">
        <w:rPr>
          <w:rFonts w:ascii="Times New Roman" w:hAnsi="Times New Roman" w:cs="Times New Roman"/>
          <w:sz w:val="24"/>
          <w:szCs w:val="24"/>
        </w:rPr>
        <w:t xml:space="preserve"> </w:t>
      </w:r>
      <w:r w:rsidR="00CC50D9">
        <w:rPr>
          <w:rFonts w:ascii="Times New Roman" w:hAnsi="Times New Roman" w:cs="Times New Roman"/>
          <w:sz w:val="24"/>
          <w:szCs w:val="24"/>
        </w:rPr>
        <w:t xml:space="preserve">The idea that owners owe responsibilities to their societies is a major theme in property theory in many jurisdictions. </w:t>
      </w:r>
      <w:r w:rsidR="00673D55">
        <w:rPr>
          <w:rFonts w:ascii="Times New Roman" w:hAnsi="Times New Roman" w:cs="Times New Roman"/>
          <w:sz w:val="24"/>
          <w:szCs w:val="24"/>
        </w:rPr>
        <w:t xml:space="preserve">In some civil-law jurisdictions </w:t>
      </w:r>
      <w:r w:rsidR="00C2245C">
        <w:rPr>
          <w:rFonts w:ascii="Times New Roman" w:hAnsi="Times New Roman" w:cs="Times New Roman"/>
          <w:sz w:val="24"/>
          <w:szCs w:val="24"/>
        </w:rPr>
        <w:t xml:space="preserve">there is an </w:t>
      </w:r>
      <w:r w:rsidR="00C2245C">
        <w:rPr>
          <w:rFonts w:ascii="Times New Roman" w:hAnsi="Times New Roman" w:cs="Times New Roman"/>
          <w:sz w:val="24"/>
          <w:szCs w:val="24"/>
        </w:rPr>
        <w:lastRenderedPageBreak/>
        <w:t>important tradition in property legal theory emphasizing the “social function of property.”</w:t>
      </w:r>
      <w:r w:rsidR="00C2245C">
        <w:rPr>
          <w:rStyle w:val="FootnoteReference"/>
          <w:rFonts w:ascii="Times New Roman" w:hAnsi="Times New Roman" w:cs="Times New Roman"/>
          <w:sz w:val="24"/>
          <w:szCs w:val="24"/>
        </w:rPr>
        <w:footnoteReference w:id="51"/>
      </w:r>
      <w:r w:rsidR="006D526C">
        <w:rPr>
          <w:rFonts w:ascii="Times New Roman" w:hAnsi="Times New Roman" w:cs="Times New Roman"/>
          <w:sz w:val="24"/>
          <w:szCs w:val="24"/>
        </w:rPr>
        <w:t xml:space="preserve"> This tradition, whose origins are usually traced to the French legal theorist </w:t>
      </w:r>
      <w:proofErr w:type="spellStart"/>
      <w:r w:rsidR="006D526C">
        <w:rPr>
          <w:rFonts w:ascii="Times New Roman" w:hAnsi="Times New Roman" w:cs="Times New Roman"/>
          <w:sz w:val="24"/>
          <w:szCs w:val="24"/>
        </w:rPr>
        <w:t>Leòn</w:t>
      </w:r>
      <w:proofErr w:type="spellEnd"/>
      <w:r w:rsidR="006D526C">
        <w:rPr>
          <w:rFonts w:ascii="Times New Roman" w:hAnsi="Times New Roman" w:cs="Times New Roman"/>
          <w:sz w:val="24"/>
          <w:szCs w:val="24"/>
        </w:rPr>
        <w:t xml:space="preserve"> </w:t>
      </w:r>
      <w:proofErr w:type="spellStart"/>
      <w:r w:rsidR="006D526C">
        <w:rPr>
          <w:rFonts w:ascii="Times New Roman" w:hAnsi="Times New Roman" w:cs="Times New Roman"/>
          <w:sz w:val="24"/>
          <w:szCs w:val="24"/>
        </w:rPr>
        <w:t>Duguit</w:t>
      </w:r>
      <w:proofErr w:type="spellEnd"/>
      <w:r w:rsidR="006D526C">
        <w:rPr>
          <w:rFonts w:ascii="Times New Roman" w:hAnsi="Times New Roman" w:cs="Times New Roman"/>
          <w:sz w:val="24"/>
          <w:szCs w:val="24"/>
        </w:rPr>
        <w:t>,</w:t>
      </w:r>
      <w:r w:rsidR="006D526C">
        <w:rPr>
          <w:rStyle w:val="FootnoteReference"/>
          <w:rFonts w:ascii="Times New Roman" w:hAnsi="Times New Roman" w:cs="Times New Roman"/>
          <w:sz w:val="24"/>
          <w:szCs w:val="24"/>
        </w:rPr>
        <w:footnoteReference w:id="52"/>
      </w:r>
      <w:r w:rsidR="008171A5">
        <w:rPr>
          <w:rFonts w:ascii="Times New Roman" w:hAnsi="Times New Roman" w:cs="Times New Roman"/>
          <w:sz w:val="24"/>
          <w:szCs w:val="24"/>
        </w:rPr>
        <w:t xml:space="preserve"> views property not in terms of a right but rather as a social function.</w:t>
      </w:r>
      <w:r w:rsidR="008171A5">
        <w:rPr>
          <w:rStyle w:val="FootnoteReference"/>
          <w:rFonts w:ascii="Times New Roman" w:hAnsi="Times New Roman" w:cs="Times New Roman"/>
          <w:sz w:val="24"/>
          <w:szCs w:val="24"/>
        </w:rPr>
        <w:footnoteReference w:id="53"/>
      </w:r>
      <w:r w:rsidR="004C0014">
        <w:rPr>
          <w:rFonts w:ascii="Times New Roman" w:hAnsi="Times New Roman" w:cs="Times New Roman"/>
          <w:sz w:val="24"/>
          <w:szCs w:val="24"/>
        </w:rPr>
        <w:t xml:space="preserve"> Not only does the owner owe responsibilities to put the property to the service of the community, but the state should protect property only to the extent that the owner fulfills this social responsibility.</w:t>
      </w:r>
      <w:r w:rsidR="004C0014">
        <w:rPr>
          <w:rStyle w:val="FootnoteReference"/>
          <w:rFonts w:ascii="Times New Roman" w:hAnsi="Times New Roman" w:cs="Times New Roman"/>
          <w:sz w:val="24"/>
          <w:szCs w:val="24"/>
        </w:rPr>
        <w:footnoteReference w:id="54"/>
      </w:r>
      <w:r w:rsidR="0022585A">
        <w:rPr>
          <w:rFonts w:ascii="Times New Roman" w:hAnsi="Times New Roman" w:cs="Times New Roman"/>
          <w:sz w:val="24"/>
          <w:szCs w:val="24"/>
        </w:rPr>
        <w:t xml:space="preserve"> The connection between property and responsibility to others is the basis of the social obligation idea in American property legal theory. The major difference between that idea and the civil-law social function doctrine is that the latter is externally imposed on owners, unlike the social obligation norm which is conceived as internal to the concept of ownership itself.</w:t>
      </w:r>
    </w:p>
    <w:p w:rsidR="000507CC" w:rsidRDefault="000507CC" w:rsidP="0021327B">
      <w:pPr>
        <w:pStyle w:val="NoSpacing"/>
        <w:rPr>
          <w:rFonts w:ascii="Times New Roman" w:hAnsi="Times New Roman" w:cs="Times New Roman"/>
          <w:sz w:val="24"/>
          <w:szCs w:val="24"/>
        </w:rPr>
      </w:pPr>
    </w:p>
    <w:p w:rsidR="000507CC" w:rsidRPr="00C472CE" w:rsidRDefault="000507CC" w:rsidP="0021327B">
      <w:pPr>
        <w:pStyle w:val="NoSpacing"/>
        <w:rPr>
          <w:rFonts w:ascii="Times New Roman" w:hAnsi="Times New Roman" w:cs="Times New Roman"/>
          <w:i/>
          <w:sz w:val="24"/>
          <w:szCs w:val="24"/>
        </w:rPr>
      </w:pPr>
      <w:r w:rsidRPr="00C472CE">
        <w:rPr>
          <w:rFonts w:ascii="Times New Roman" w:hAnsi="Times New Roman" w:cs="Times New Roman"/>
          <w:i/>
          <w:sz w:val="24"/>
          <w:szCs w:val="24"/>
        </w:rPr>
        <w:t>Linking Property’s Values with Property’s Types</w:t>
      </w:r>
    </w:p>
    <w:p w:rsidR="000507CC" w:rsidRDefault="000507CC" w:rsidP="0021327B">
      <w:pPr>
        <w:pStyle w:val="NoSpacing"/>
        <w:rPr>
          <w:rFonts w:ascii="Times New Roman" w:hAnsi="Times New Roman" w:cs="Times New Roman"/>
          <w:sz w:val="24"/>
          <w:szCs w:val="24"/>
        </w:rPr>
      </w:pPr>
    </w:p>
    <w:p w:rsidR="000507CC" w:rsidRDefault="000507CC" w:rsidP="0021327B">
      <w:pPr>
        <w:pStyle w:val="NoSpacing"/>
        <w:rPr>
          <w:rFonts w:ascii="Times New Roman" w:hAnsi="Times New Roman" w:cs="Times New Roman"/>
          <w:sz w:val="24"/>
          <w:szCs w:val="24"/>
        </w:rPr>
      </w:pPr>
      <w:r>
        <w:rPr>
          <w:rFonts w:ascii="Times New Roman" w:hAnsi="Times New Roman" w:cs="Times New Roman"/>
          <w:sz w:val="24"/>
          <w:szCs w:val="24"/>
        </w:rPr>
        <w:tab/>
        <w:t xml:space="preserve">The next step is to discern which of the values that ground property are at stake in the disputed plan of expropriation. </w:t>
      </w:r>
      <w:r w:rsidR="00545D80">
        <w:rPr>
          <w:rFonts w:ascii="Times New Roman" w:hAnsi="Times New Roman" w:cs="Times New Roman"/>
          <w:sz w:val="24"/>
          <w:szCs w:val="24"/>
        </w:rPr>
        <w:t xml:space="preserve">It might seem at first that this inquiry </w:t>
      </w:r>
      <w:r w:rsidR="009316C2">
        <w:rPr>
          <w:rFonts w:ascii="Times New Roman" w:hAnsi="Times New Roman" w:cs="Times New Roman"/>
          <w:sz w:val="24"/>
          <w:szCs w:val="24"/>
        </w:rPr>
        <w:t>implies</w:t>
      </w:r>
      <w:r w:rsidR="00545D80">
        <w:rPr>
          <w:rFonts w:ascii="Times New Roman" w:hAnsi="Times New Roman" w:cs="Times New Roman"/>
          <w:sz w:val="24"/>
          <w:szCs w:val="24"/>
        </w:rPr>
        <w:t xml:space="preserve"> </w:t>
      </w:r>
      <w:r w:rsidR="009316C2">
        <w:rPr>
          <w:rFonts w:ascii="Times New Roman" w:hAnsi="Times New Roman" w:cs="Times New Roman"/>
          <w:sz w:val="24"/>
          <w:szCs w:val="24"/>
        </w:rPr>
        <w:t xml:space="preserve">that public-use analysis must proceed on an ad </w:t>
      </w:r>
      <w:proofErr w:type="gramStart"/>
      <w:r w:rsidR="009316C2">
        <w:rPr>
          <w:rFonts w:ascii="Times New Roman" w:hAnsi="Times New Roman" w:cs="Times New Roman"/>
          <w:sz w:val="24"/>
          <w:szCs w:val="24"/>
        </w:rPr>
        <w:t>hoc,</w:t>
      </w:r>
      <w:proofErr w:type="gramEnd"/>
      <w:r w:rsidR="009316C2">
        <w:rPr>
          <w:rFonts w:ascii="Times New Roman" w:hAnsi="Times New Roman" w:cs="Times New Roman"/>
          <w:sz w:val="24"/>
          <w:szCs w:val="24"/>
        </w:rPr>
        <w:t xml:space="preserve"> or case-by-case basis</w:t>
      </w:r>
      <w:r w:rsidR="00545D80">
        <w:rPr>
          <w:rFonts w:ascii="Times New Roman" w:hAnsi="Times New Roman" w:cs="Times New Roman"/>
          <w:sz w:val="24"/>
          <w:szCs w:val="24"/>
        </w:rPr>
        <w:t xml:space="preserve">. That is not necessarily </w:t>
      </w:r>
      <w:r w:rsidR="009316C2">
        <w:rPr>
          <w:rFonts w:ascii="Times New Roman" w:hAnsi="Times New Roman" w:cs="Times New Roman"/>
          <w:sz w:val="24"/>
          <w:szCs w:val="24"/>
        </w:rPr>
        <w:t>so</w:t>
      </w:r>
      <w:r w:rsidR="00545D80">
        <w:rPr>
          <w:rFonts w:ascii="Times New Roman" w:hAnsi="Times New Roman" w:cs="Times New Roman"/>
          <w:sz w:val="24"/>
          <w:szCs w:val="24"/>
        </w:rPr>
        <w:t xml:space="preserve">, however. </w:t>
      </w:r>
      <w:r w:rsidR="00F019EE">
        <w:rPr>
          <w:rFonts w:ascii="Times New Roman" w:hAnsi="Times New Roman" w:cs="Times New Roman"/>
          <w:sz w:val="24"/>
          <w:szCs w:val="24"/>
        </w:rPr>
        <w:t xml:space="preserve">Different values implicate different types of property so that it is reasonable to develop legal presumptions about outcomes based substantially on the type of property involved. </w:t>
      </w:r>
    </w:p>
    <w:p w:rsidR="00F019EE" w:rsidRDefault="00F019EE" w:rsidP="0021327B">
      <w:pPr>
        <w:pStyle w:val="NoSpacing"/>
        <w:rPr>
          <w:rFonts w:ascii="Times New Roman" w:hAnsi="Times New Roman" w:cs="Times New Roman"/>
          <w:sz w:val="24"/>
          <w:szCs w:val="24"/>
        </w:rPr>
      </w:pPr>
    </w:p>
    <w:p w:rsidR="000703C9" w:rsidRDefault="000703C9" w:rsidP="000703C9">
      <w:pPr>
        <w:pStyle w:val="NoSpacing"/>
        <w:rPr>
          <w:rFonts w:ascii="Times New Roman" w:hAnsi="Times New Roman" w:cs="Times New Roman"/>
          <w:sz w:val="24"/>
          <w:szCs w:val="24"/>
        </w:rPr>
      </w:pPr>
      <w:r>
        <w:rPr>
          <w:rFonts w:ascii="Times New Roman" w:hAnsi="Times New Roman" w:cs="Times New Roman"/>
          <w:sz w:val="24"/>
          <w:szCs w:val="24"/>
        </w:rPr>
        <w:tab/>
      </w:r>
      <w:r w:rsidR="00F019EE" w:rsidRPr="000703C9">
        <w:rPr>
          <w:rFonts w:ascii="Times New Roman" w:hAnsi="Times New Roman" w:cs="Times New Roman"/>
          <w:sz w:val="24"/>
          <w:szCs w:val="24"/>
        </w:rPr>
        <w:t xml:space="preserve">A practice of the German Constitutional Court is highly instructive here. </w:t>
      </w:r>
      <w:r w:rsidR="005170BF" w:rsidRPr="000703C9">
        <w:rPr>
          <w:rFonts w:ascii="Times New Roman" w:hAnsi="Times New Roman" w:cs="Times New Roman"/>
          <w:sz w:val="24"/>
          <w:szCs w:val="24"/>
        </w:rPr>
        <w:t>As mentioned previously, the property clause of the German Basic Law includes a social obligation provision.</w:t>
      </w:r>
      <w:r w:rsidR="005170BF" w:rsidRPr="000703C9">
        <w:rPr>
          <w:rStyle w:val="FootnoteReference"/>
          <w:rFonts w:ascii="Times New Roman" w:hAnsi="Times New Roman" w:cs="Times New Roman"/>
          <w:sz w:val="24"/>
          <w:szCs w:val="24"/>
        </w:rPr>
        <w:footnoteReference w:id="55"/>
      </w:r>
      <w:r w:rsidR="005170BF" w:rsidRPr="000703C9">
        <w:rPr>
          <w:rFonts w:ascii="Times New Roman" w:hAnsi="Times New Roman" w:cs="Times New Roman"/>
          <w:sz w:val="24"/>
          <w:szCs w:val="24"/>
        </w:rPr>
        <w:t xml:space="preserve"> A key practice that the courts have developed in applying this provision is the so-called </w:t>
      </w:r>
      <w:r w:rsidR="005170BF" w:rsidRPr="000703C9">
        <w:rPr>
          <w:rFonts w:ascii="Times New Roman" w:hAnsi="Times New Roman" w:cs="Times New Roman"/>
          <w:sz w:val="24"/>
          <w:szCs w:val="24"/>
        </w:rPr>
        <w:sym w:font="WP TypographicSymbols" w:char="0041"/>
      </w:r>
      <w:r w:rsidR="005170BF" w:rsidRPr="000703C9">
        <w:rPr>
          <w:rFonts w:ascii="Times New Roman" w:hAnsi="Times New Roman" w:cs="Times New Roman"/>
          <w:sz w:val="24"/>
          <w:szCs w:val="24"/>
        </w:rPr>
        <w:t>scaling</w:t>
      </w:r>
      <w:r w:rsidR="005170BF" w:rsidRPr="000703C9">
        <w:rPr>
          <w:rFonts w:ascii="Times New Roman" w:hAnsi="Times New Roman" w:cs="Times New Roman"/>
          <w:sz w:val="24"/>
          <w:szCs w:val="24"/>
        </w:rPr>
        <w:sym w:font="WP TypographicSymbols" w:char="0040"/>
      </w:r>
      <w:r w:rsidR="005170BF" w:rsidRPr="000703C9">
        <w:rPr>
          <w:rFonts w:ascii="Times New Roman" w:hAnsi="Times New Roman" w:cs="Times New Roman"/>
          <w:sz w:val="24"/>
          <w:szCs w:val="24"/>
        </w:rPr>
        <w:t xml:space="preserve"> function (</w:t>
      </w:r>
      <w:proofErr w:type="spellStart"/>
      <w:r w:rsidR="005170BF" w:rsidRPr="000703C9">
        <w:rPr>
          <w:rFonts w:ascii="Times New Roman" w:hAnsi="Times New Roman" w:cs="Times New Roman"/>
          <w:i/>
          <w:iCs/>
          <w:sz w:val="24"/>
          <w:szCs w:val="24"/>
        </w:rPr>
        <w:t>Abstufung</w:t>
      </w:r>
      <w:proofErr w:type="spellEnd"/>
      <w:r w:rsidR="005170BF" w:rsidRPr="000703C9">
        <w:rPr>
          <w:rFonts w:ascii="Times New Roman" w:hAnsi="Times New Roman" w:cs="Times New Roman"/>
          <w:i/>
          <w:iCs/>
          <w:sz w:val="24"/>
          <w:szCs w:val="24"/>
        </w:rPr>
        <w:t xml:space="preserve"> der </w:t>
      </w:r>
      <w:proofErr w:type="spellStart"/>
      <w:r w:rsidR="005170BF" w:rsidRPr="000703C9">
        <w:rPr>
          <w:rFonts w:ascii="Times New Roman" w:hAnsi="Times New Roman" w:cs="Times New Roman"/>
          <w:i/>
          <w:iCs/>
          <w:sz w:val="24"/>
          <w:szCs w:val="24"/>
        </w:rPr>
        <w:t>Sozialpflichtigkeit</w:t>
      </w:r>
      <w:proofErr w:type="spellEnd"/>
      <w:r w:rsidR="005170BF" w:rsidRPr="000703C9">
        <w:rPr>
          <w:rFonts w:ascii="Times New Roman" w:hAnsi="Times New Roman" w:cs="Times New Roman"/>
          <w:sz w:val="24"/>
          <w:szCs w:val="24"/>
        </w:rPr>
        <w:t>).  The court scales, or grades, the social-obligation norm</w:t>
      </w:r>
      <w:r w:rsidR="005170BF" w:rsidRPr="000703C9">
        <w:rPr>
          <w:rFonts w:ascii="Times New Roman" w:hAnsi="Times New Roman" w:cs="Times New Roman"/>
          <w:sz w:val="24"/>
          <w:szCs w:val="24"/>
        </w:rPr>
        <w:sym w:font="WP TypographicSymbols" w:char="003D"/>
      </w:r>
      <w:r w:rsidR="005170BF" w:rsidRPr="000703C9">
        <w:rPr>
          <w:rFonts w:ascii="Times New Roman" w:hAnsi="Times New Roman" w:cs="Times New Roman"/>
          <w:sz w:val="24"/>
          <w:szCs w:val="24"/>
        </w:rPr>
        <w:t xml:space="preserve">s limitation on property according to its relation to the individual owner. As one observer explains, </w:t>
      </w:r>
      <w:r w:rsidR="005170BF" w:rsidRPr="000703C9">
        <w:rPr>
          <w:rFonts w:ascii="Times New Roman" w:hAnsi="Times New Roman" w:cs="Times New Roman"/>
          <w:sz w:val="24"/>
          <w:szCs w:val="24"/>
        </w:rPr>
        <w:sym w:font="WP TypographicSymbols" w:char="0041"/>
      </w:r>
      <w:r w:rsidR="005170BF" w:rsidRPr="000703C9">
        <w:rPr>
          <w:rFonts w:ascii="Times New Roman" w:hAnsi="Times New Roman" w:cs="Times New Roman"/>
          <w:sz w:val="24"/>
          <w:szCs w:val="24"/>
        </w:rPr>
        <w:t>[T]he closer the specific property right is involved in providing security for the personal liberty of its holder, the narrower the restrictions which prevent the legislature from interfering with that right; and the further a specific property right is removed from the sphere within which the personal liberty of its holder is preserved, the easier it becomes for the legislature to regulate the limits of that right.”</w:t>
      </w:r>
      <w:r w:rsidR="005170BF" w:rsidRPr="000703C9">
        <w:rPr>
          <w:rStyle w:val="FootnoteReference"/>
          <w:rFonts w:ascii="Times New Roman" w:hAnsi="Times New Roman" w:cs="Times New Roman"/>
          <w:sz w:val="24"/>
          <w:szCs w:val="24"/>
        </w:rPr>
        <w:footnoteReference w:id="56"/>
      </w:r>
      <w:r w:rsidRPr="000703C9">
        <w:rPr>
          <w:rFonts w:ascii="Times New Roman" w:hAnsi="Times New Roman" w:cs="Times New Roman"/>
          <w:sz w:val="24"/>
          <w:szCs w:val="24"/>
        </w:rPr>
        <w:t xml:space="preserve"> As part of this analysis, the court inquires whether and to what extent other persons are dependent on the use of the owner</w:t>
      </w:r>
      <w:r w:rsidRPr="000703C9">
        <w:rPr>
          <w:rFonts w:ascii="Times New Roman" w:hAnsi="Times New Roman" w:cs="Times New Roman"/>
          <w:sz w:val="24"/>
          <w:szCs w:val="24"/>
        </w:rPr>
        <w:sym w:font="WP TypographicSymbols" w:char="003D"/>
      </w:r>
      <w:r w:rsidRPr="000703C9">
        <w:rPr>
          <w:rFonts w:ascii="Times New Roman" w:hAnsi="Times New Roman" w:cs="Times New Roman"/>
          <w:sz w:val="24"/>
          <w:szCs w:val="24"/>
        </w:rPr>
        <w:t xml:space="preserve">s property.  </w:t>
      </w:r>
      <w:proofErr w:type="gramStart"/>
      <w:r w:rsidRPr="000703C9">
        <w:rPr>
          <w:rFonts w:ascii="Times New Roman" w:hAnsi="Times New Roman" w:cs="Times New Roman"/>
          <w:sz w:val="24"/>
          <w:szCs w:val="24"/>
        </w:rPr>
        <w:t>The greater the degree of dependency, the greater the social function and, consequently, the greater</w:t>
      </w:r>
      <w:r w:rsidRPr="000703C9">
        <w:t xml:space="preserve"> </w:t>
      </w:r>
      <w:r w:rsidRPr="000703C9">
        <w:rPr>
          <w:rFonts w:ascii="Times New Roman" w:hAnsi="Times New Roman" w:cs="Times New Roman"/>
          <w:sz w:val="24"/>
          <w:szCs w:val="24"/>
        </w:rPr>
        <w:t>the degree of legislative freedom to define the individual owner</w:t>
      </w:r>
      <w:r w:rsidRPr="000703C9">
        <w:rPr>
          <w:rFonts w:ascii="Times New Roman" w:hAnsi="Times New Roman" w:cs="Times New Roman"/>
          <w:sz w:val="24"/>
          <w:szCs w:val="24"/>
        </w:rPr>
        <w:sym w:font="WP TypographicSymbols" w:char="003D"/>
      </w:r>
      <w:r w:rsidRPr="000703C9">
        <w:rPr>
          <w:rFonts w:ascii="Times New Roman" w:hAnsi="Times New Roman" w:cs="Times New Roman"/>
          <w:sz w:val="24"/>
          <w:szCs w:val="24"/>
        </w:rPr>
        <w:t>s zone of autonomy more narrowly.</w:t>
      </w:r>
      <w:proofErr w:type="gramEnd"/>
    </w:p>
    <w:p w:rsidR="00802FA2" w:rsidRDefault="00802FA2" w:rsidP="000703C9">
      <w:pPr>
        <w:pStyle w:val="NoSpacing"/>
        <w:rPr>
          <w:rFonts w:ascii="Times New Roman" w:hAnsi="Times New Roman" w:cs="Times New Roman"/>
          <w:sz w:val="24"/>
          <w:szCs w:val="24"/>
        </w:rPr>
      </w:pPr>
    </w:p>
    <w:p w:rsidR="00802FA2" w:rsidRDefault="00802FA2" w:rsidP="000703C9">
      <w:pPr>
        <w:pStyle w:val="NoSpacing"/>
        <w:rPr>
          <w:rFonts w:ascii="Times New Roman" w:hAnsi="Times New Roman" w:cs="Times New Roman"/>
          <w:sz w:val="24"/>
          <w:szCs w:val="24"/>
        </w:rPr>
      </w:pPr>
      <w:r>
        <w:tab/>
      </w:r>
      <w:r w:rsidRPr="00802FA2">
        <w:rPr>
          <w:rFonts w:ascii="Times New Roman" w:hAnsi="Times New Roman" w:cs="Times New Roman"/>
          <w:sz w:val="24"/>
          <w:szCs w:val="24"/>
        </w:rPr>
        <w:t>As a result of this scaling function, the German court has created a hierarchy of types of property interests, granting strong</w:t>
      </w:r>
      <w:r w:rsidR="00F409F6">
        <w:rPr>
          <w:rFonts w:ascii="Times New Roman" w:hAnsi="Times New Roman" w:cs="Times New Roman"/>
          <w:sz w:val="24"/>
          <w:szCs w:val="24"/>
        </w:rPr>
        <w:t>er</w:t>
      </w:r>
      <w:r w:rsidRPr="00802FA2">
        <w:rPr>
          <w:rFonts w:ascii="Times New Roman" w:hAnsi="Times New Roman" w:cs="Times New Roman"/>
          <w:sz w:val="24"/>
          <w:szCs w:val="24"/>
        </w:rPr>
        <w:t xml:space="preserve"> protection to some, relatively weaker protection to others, </w:t>
      </w:r>
      <w:r w:rsidRPr="00802FA2">
        <w:rPr>
          <w:rFonts w:ascii="Times New Roman" w:hAnsi="Times New Roman" w:cs="Times New Roman"/>
          <w:sz w:val="24"/>
          <w:szCs w:val="24"/>
        </w:rPr>
        <w:lastRenderedPageBreak/>
        <w:t xml:space="preserve">depending upon the social functions they serve. Property interests whose function is primarily or even exclusively economic, that is, private wealth-creating, receive minimal protection under German constitutional law. Such interests are viewed as not immediately implicating the fundamental values of </w:t>
      </w:r>
      <w:r w:rsidR="002236E5">
        <w:rPr>
          <w:rFonts w:ascii="Times New Roman" w:hAnsi="Times New Roman" w:cs="Times New Roman"/>
          <w:sz w:val="24"/>
          <w:szCs w:val="24"/>
        </w:rPr>
        <w:t xml:space="preserve">personal autonomy </w:t>
      </w:r>
      <w:r w:rsidRPr="00802FA2">
        <w:rPr>
          <w:rFonts w:ascii="Times New Roman" w:hAnsi="Times New Roman" w:cs="Times New Roman"/>
          <w:sz w:val="24"/>
          <w:szCs w:val="24"/>
        </w:rPr>
        <w:t>and self-realization.  Other interests, those that immediately implicate the owner</w:t>
      </w:r>
      <w:r w:rsidRPr="00802FA2">
        <w:rPr>
          <w:rFonts w:ascii="Times New Roman" w:hAnsi="Times New Roman" w:cs="Times New Roman"/>
          <w:sz w:val="24"/>
          <w:szCs w:val="24"/>
        </w:rPr>
        <w:sym w:font="WP TypographicSymbols" w:char="003D"/>
      </w:r>
      <w:r w:rsidRPr="00802FA2">
        <w:rPr>
          <w:rFonts w:ascii="Times New Roman" w:hAnsi="Times New Roman" w:cs="Times New Roman"/>
          <w:sz w:val="24"/>
          <w:szCs w:val="24"/>
        </w:rPr>
        <w:t xml:space="preserve">s </w:t>
      </w:r>
      <w:r w:rsidR="002236E5">
        <w:rPr>
          <w:rFonts w:ascii="Times New Roman" w:hAnsi="Times New Roman" w:cs="Times New Roman"/>
          <w:sz w:val="24"/>
          <w:szCs w:val="24"/>
        </w:rPr>
        <w:t>autonomy</w:t>
      </w:r>
      <w:r w:rsidRPr="00802FA2">
        <w:rPr>
          <w:rFonts w:ascii="Times New Roman" w:hAnsi="Times New Roman" w:cs="Times New Roman"/>
          <w:sz w:val="24"/>
          <w:szCs w:val="24"/>
        </w:rPr>
        <w:t xml:space="preserve"> and self-realization interests and her opportunity to practice self-governance receive strong</w:t>
      </w:r>
      <w:r w:rsidR="002236E5">
        <w:rPr>
          <w:rFonts w:ascii="Times New Roman" w:hAnsi="Times New Roman" w:cs="Times New Roman"/>
          <w:sz w:val="24"/>
          <w:szCs w:val="24"/>
        </w:rPr>
        <w:t>er</w:t>
      </w:r>
      <w:r w:rsidRPr="00802FA2">
        <w:rPr>
          <w:rFonts w:ascii="Times New Roman" w:hAnsi="Times New Roman" w:cs="Times New Roman"/>
          <w:sz w:val="24"/>
          <w:szCs w:val="24"/>
        </w:rPr>
        <w:t xml:space="preserve"> protection.  So, for example, the interest of a landlord who does not personally reside on the premises is given lesser weight than that of her tenant, whose opportunity to remain in possession is considered essential to </w:t>
      </w:r>
      <w:r w:rsidR="002236E5">
        <w:rPr>
          <w:rFonts w:ascii="Times New Roman" w:hAnsi="Times New Roman" w:cs="Times New Roman"/>
          <w:sz w:val="24"/>
          <w:szCs w:val="24"/>
        </w:rPr>
        <w:t>autonomy, security,</w:t>
      </w:r>
      <w:r w:rsidRPr="00802FA2">
        <w:rPr>
          <w:rFonts w:ascii="Times New Roman" w:hAnsi="Times New Roman" w:cs="Times New Roman"/>
          <w:sz w:val="24"/>
          <w:szCs w:val="24"/>
        </w:rPr>
        <w:t xml:space="preserve"> and self-governance values.</w:t>
      </w:r>
    </w:p>
    <w:p w:rsidR="002E6333" w:rsidRDefault="002E6333" w:rsidP="000703C9">
      <w:pPr>
        <w:pStyle w:val="NoSpacing"/>
        <w:rPr>
          <w:rFonts w:ascii="Times New Roman" w:hAnsi="Times New Roman" w:cs="Times New Roman"/>
          <w:sz w:val="24"/>
          <w:szCs w:val="24"/>
        </w:rPr>
      </w:pPr>
    </w:p>
    <w:p w:rsidR="002E6333" w:rsidRDefault="002E6333" w:rsidP="000703C9">
      <w:pPr>
        <w:pStyle w:val="NoSpacing"/>
        <w:rPr>
          <w:rFonts w:ascii="Times New Roman" w:hAnsi="Times New Roman" w:cs="Times New Roman"/>
          <w:sz w:val="24"/>
          <w:szCs w:val="24"/>
        </w:rPr>
      </w:pPr>
      <w:r>
        <w:rPr>
          <w:rFonts w:ascii="Times New Roman" w:hAnsi="Times New Roman" w:cs="Times New Roman"/>
          <w:sz w:val="24"/>
          <w:szCs w:val="24"/>
        </w:rPr>
        <w:tab/>
        <w:t xml:space="preserve">Does this mean that commercial interests always receive weaker protection than non-commercial or personal property interests? Not necessarily. Some commercial interests may implicate many of the same values embedded in personal interests. Small, family-owned businesses, for example, involve autonomy, security, and self-realization interests much in the way that residential property does, and they should receive relatively strong protection. </w:t>
      </w:r>
    </w:p>
    <w:p w:rsidR="002E6333" w:rsidRDefault="002E6333" w:rsidP="000703C9">
      <w:pPr>
        <w:pStyle w:val="NoSpacing"/>
        <w:rPr>
          <w:rFonts w:ascii="Times New Roman" w:hAnsi="Times New Roman" w:cs="Times New Roman"/>
          <w:sz w:val="24"/>
          <w:szCs w:val="24"/>
        </w:rPr>
      </w:pPr>
    </w:p>
    <w:p w:rsidR="002E6333" w:rsidRPr="00C472CE" w:rsidRDefault="00405C93" w:rsidP="000703C9">
      <w:pPr>
        <w:pStyle w:val="NoSpacing"/>
        <w:rPr>
          <w:rFonts w:ascii="Times New Roman" w:hAnsi="Times New Roman" w:cs="Times New Roman"/>
          <w:i/>
          <w:sz w:val="24"/>
          <w:szCs w:val="24"/>
        </w:rPr>
      </w:pPr>
      <w:r w:rsidRPr="00C472CE">
        <w:rPr>
          <w:rFonts w:ascii="Times New Roman" w:hAnsi="Times New Roman" w:cs="Times New Roman"/>
          <w:i/>
          <w:sz w:val="24"/>
          <w:szCs w:val="24"/>
        </w:rPr>
        <w:t>Purposive Analysis Is Dynamic</w:t>
      </w:r>
    </w:p>
    <w:p w:rsidR="00405C93" w:rsidRDefault="00405C93" w:rsidP="000703C9">
      <w:pPr>
        <w:pStyle w:val="NoSpacing"/>
        <w:rPr>
          <w:rFonts w:ascii="Times New Roman" w:hAnsi="Times New Roman" w:cs="Times New Roman"/>
          <w:sz w:val="24"/>
          <w:szCs w:val="24"/>
        </w:rPr>
      </w:pPr>
    </w:p>
    <w:p w:rsidR="00405C93" w:rsidRDefault="00405C93" w:rsidP="00405C93">
      <w:pPr>
        <w:pStyle w:val="NoSpacing"/>
        <w:rPr>
          <w:rFonts w:ascii="Times New Roman" w:hAnsi="Times New Roman" w:cs="Times New Roman"/>
          <w:sz w:val="24"/>
          <w:szCs w:val="24"/>
        </w:rPr>
      </w:pPr>
      <w:r>
        <w:rPr>
          <w:rFonts w:ascii="Times New Roman" w:hAnsi="Times New Roman" w:cs="Times New Roman"/>
          <w:sz w:val="24"/>
          <w:szCs w:val="24"/>
        </w:rPr>
        <w:tab/>
        <w:t xml:space="preserve">Another aspect of the German Court’s purposive approach that is instructive is its recognition that purposes change over time. The Court’s </w:t>
      </w:r>
      <w:r w:rsidRPr="00405C93">
        <w:rPr>
          <w:rFonts w:ascii="Times New Roman" w:hAnsi="Times New Roman" w:cs="Times New Roman"/>
          <w:sz w:val="24"/>
          <w:szCs w:val="24"/>
        </w:rPr>
        <w:t>scaling analysis is functionally dynamic.  It is functionally dynamic in the sense that the courts consider social and economic changes that have affected the purposes that particular resources serve over time.   An influential treatise on German constitutional law aptly captures this focus on the functional change of property and its relevance to constitutional protection:</w:t>
      </w:r>
    </w:p>
    <w:p w:rsidR="00405C93" w:rsidRDefault="00405C93" w:rsidP="00405C93">
      <w:pPr>
        <w:pStyle w:val="NoSpacing"/>
        <w:rPr>
          <w:rFonts w:ascii="Times New Roman" w:hAnsi="Times New Roman" w:cs="Times New Roman"/>
          <w:sz w:val="24"/>
          <w:szCs w:val="24"/>
        </w:rPr>
      </w:pPr>
    </w:p>
    <w:p w:rsidR="00405C93" w:rsidRPr="00BF34E0" w:rsidRDefault="00BF34E0" w:rsidP="00405C93">
      <w:pPr>
        <w:pStyle w:val="NoSpacing"/>
        <w:rPr>
          <w:rFonts w:ascii="Times New Roman" w:hAnsi="Times New Roman" w:cs="Times New Roman"/>
        </w:rPr>
      </w:pPr>
      <w:r>
        <w:tab/>
      </w:r>
      <w:r w:rsidRPr="00BF34E0">
        <w:rPr>
          <w:rFonts w:ascii="Times New Roman" w:hAnsi="Times New Roman" w:cs="Times New Roman"/>
        </w:rPr>
        <w:t xml:space="preserve">As a basis for the individual existence and individual conduct of life as well as a principle of </w:t>
      </w:r>
      <w:r>
        <w:rPr>
          <w:rFonts w:ascii="Times New Roman" w:hAnsi="Times New Roman" w:cs="Times New Roman"/>
        </w:rPr>
        <w:tab/>
      </w:r>
      <w:r w:rsidRPr="00BF34E0">
        <w:rPr>
          <w:rFonts w:ascii="Times New Roman" w:hAnsi="Times New Roman" w:cs="Times New Roman"/>
        </w:rPr>
        <w:t xml:space="preserve">social order the individual ownership of property has lost its importance.  Modern life is based </w:t>
      </w:r>
      <w:r>
        <w:rPr>
          <w:rFonts w:ascii="Times New Roman" w:hAnsi="Times New Roman" w:cs="Times New Roman"/>
        </w:rPr>
        <w:tab/>
      </w:r>
      <w:r w:rsidRPr="00BF34E0">
        <w:rPr>
          <w:rFonts w:ascii="Times New Roman" w:hAnsi="Times New Roman" w:cs="Times New Roman"/>
        </w:rPr>
        <w:t xml:space="preserve">only to </w:t>
      </w:r>
      <w:r w:rsidRPr="00BF34E0">
        <w:rPr>
          <w:rFonts w:ascii="Times New Roman" w:hAnsi="Times New Roman" w:cs="Times New Roman"/>
        </w:rPr>
        <w:tab/>
        <w:t xml:space="preserve">a limited extent on the individual power of disposition as the basis for individual </w:t>
      </w:r>
      <w:r>
        <w:rPr>
          <w:rFonts w:ascii="Times New Roman" w:hAnsi="Times New Roman" w:cs="Times New Roman"/>
        </w:rPr>
        <w:tab/>
      </w:r>
      <w:r w:rsidRPr="00BF34E0">
        <w:rPr>
          <w:rFonts w:ascii="Times New Roman" w:hAnsi="Times New Roman" w:cs="Times New Roman"/>
        </w:rPr>
        <w:t xml:space="preserve">existence, with respect, for example, to the peasant farm or the family enterprise. The basis for </w:t>
      </w:r>
      <w:r>
        <w:rPr>
          <w:rFonts w:ascii="Times New Roman" w:hAnsi="Times New Roman" w:cs="Times New Roman"/>
        </w:rPr>
        <w:tab/>
      </w:r>
      <w:r w:rsidRPr="00BF34E0">
        <w:rPr>
          <w:rFonts w:ascii="Times New Roman" w:hAnsi="Times New Roman" w:cs="Times New Roman"/>
        </w:rPr>
        <w:t xml:space="preserve">individual existence is usually no longer private property as determined by private law, but the </w:t>
      </w:r>
      <w:r>
        <w:rPr>
          <w:rFonts w:ascii="Times New Roman" w:hAnsi="Times New Roman" w:cs="Times New Roman"/>
        </w:rPr>
        <w:tab/>
      </w:r>
      <w:r w:rsidRPr="00BF34E0">
        <w:rPr>
          <w:rFonts w:ascii="Times New Roman" w:hAnsi="Times New Roman" w:cs="Times New Roman"/>
        </w:rPr>
        <w:t>produc</w:t>
      </w:r>
      <w:r>
        <w:rPr>
          <w:rFonts w:ascii="Times New Roman" w:hAnsi="Times New Roman" w:cs="Times New Roman"/>
        </w:rPr>
        <w:t>t</w:t>
      </w:r>
      <w:r w:rsidRPr="00BF34E0">
        <w:rPr>
          <w:rFonts w:ascii="Times New Roman" w:hAnsi="Times New Roman" w:cs="Times New Roman"/>
        </w:rPr>
        <w:t xml:space="preserve"> of </w:t>
      </w:r>
      <w:proofErr w:type="spellStart"/>
      <w:r w:rsidRPr="00BF34E0">
        <w:rPr>
          <w:rFonts w:ascii="Times New Roman" w:hAnsi="Times New Roman" w:cs="Times New Roman"/>
        </w:rPr>
        <w:t>one</w:t>
      </w:r>
      <w:r w:rsidRPr="00BF34E0">
        <w:rPr>
          <w:rFonts w:ascii="Times New Roman" w:hAnsi="Times New Roman" w:cs="Times New Roman"/>
        </w:rPr>
        <w:sym w:font="WP TypographicSymbols" w:char="003D"/>
      </w:r>
      <w:r w:rsidRPr="00BF34E0">
        <w:rPr>
          <w:rFonts w:ascii="Times New Roman" w:hAnsi="Times New Roman" w:cs="Times New Roman"/>
        </w:rPr>
        <w:t>s</w:t>
      </w:r>
      <w:proofErr w:type="spellEnd"/>
      <w:r w:rsidRPr="00BF34E0">
        <w:rPr>
          <w:rFonts w:ascii="Times New Roman" w:hAnsi="Times New Roman" w:cs="Times New Roman"/>
        </w:rPr>
        <w:t xml:space="preserve"> own work and participation in the benefits of the welfare state.</w:t>
      </w:r>
      <w:r>
        <w:rPr>
          <w:rStyle w:val="FootnoteReference"/>
          <w:rFonts w:ascii="Times New Roman" w:hAnsi="Times New Roman" w:cs="Times New Roman"/>
        </w:rPr>
        <w:footnoteReference w:id="57"/>
      </w:r>
    </w:p>
    <w:p w:rsidR="00BF34E0" w:rsidRDefault="00BF34E0" w:rsidP="00405C93">
      <w:pPr>
        <w:pStyle w:val="NoSpacing"/>
      </w:pPr>
    </w:p>
    <w:p w:rsidR="00D85FB7" w:rsidRDefault="000D1FA2" w:rsidP="00DC3EAF">
      <w:pPr>
        <w:pStyle w:val="NoSpacing"/>
        <w:rPr>
          <w:rFonts w:ascii="Times New Roman" w:hAnsi="Times New Roman" w:cs="Times New Roman"/>
          <w:sz w:val="24"/>
          <w:szCs w:val="24"/>
        </w:rPr>
      </w:pPr>
      <w:r>
        <w:rPr>
          <w:rFonts w:ascii="Times New Roman" w:hAnsi="Times New Roman" w:cs="Times New Roman"/>
          <w:sz w:val="24"/>
          <w:szCs w:val="24"/>
        </w:rPr>
        <w:tab/>
      </w:r>
      <w:r w:rsidR="00064198" w:rsidRPr="00DC3EAF">
        <w:rPr>
          <w:rFonts w:ascii="Times New Roman" w:hAnsi="Times New Roman" w:cs="Times New Roman"/>
          <w:sz w:val="24"/>
          <w:szCs w:val="24"/>
        </w:rPr>
        <w:t xml:space="preserve">The relevance of functional changes of property to constitutional protection is illustrated by the </w:t>
      </w:r>
      <w:r w:rsidR="00064198" w:rsidRPr="00DC3EAF">
        <w:rPr>
          <w:rFonts w:ascii="Times New Roman" w:hAnsi="Times New Roman" w:cs="Times New Roman"/>
          <w:i/>
          <w:sz w:val="24"/>
          <w:szCs w:val="24"/>
        </w:rPr>
        <w:t>Small Garden Plot Case</w:t>
      </w:r>
      <w:r w:rsidR="00064198" w:rsidRPr="00DC3EAF">
        <w:rPr>
          <w:rFonts w:ascii="Times New Roman" w:hAnsi="Times New Roman" w:cs="Times New Roman"/>
          <w:sz w:val="24"/>
          <w:szCs w:val="24"/>
        </w:rPr>
        <w:t xml:space="preserve"> (</w:t>
      </w:r>
      <w:proofErr w:type="spellStart"/>
      <w:r w:rsidR="00064198" w:rsidRPr="00DC3EAF">
        <w:rPr>
          <w:rFonts w:ascii="Times New Roman" w:hAnsi="Times New Roman" w:cs="Times New Roman"/>
          <w:i/>
          <w:sz w:val="24"/>
          <w:szCs w:val="24"/>
        </w:rPr>
        <w:t>Kleingartenentscheidung</w:t>
      </w:r>
      <w:proofErr w:type="spellEnd"/>
      <w:r w:rsidR="00064198" w:rsidRPr="00DC3EAF">
        <w:rPr>
          <w:rFonts w:ascii="Times New Roman" w:hAnsi="Times New Roman" w:cs="Times New Roman"/>
          <w:i/>
          <w:sz w:val="24"/>
          <w:szCs w:val="24"/>
        </w:rPr>
        <w:t>).</w:t>
      </w:r>
      <w:r w:rsidR="00064198" w:rsidRPr="00DC3EAF">
        <w:rPr>
          <w:rStyle w:val="FootnoteReference"/>
          <w:rFonts w:ascii="Times New Roman" w:hAnsi="Times New Roman" w:cs="Times New Roman"/>
          <w:i/>
          <w:iCs/>
          <w:sz w:val="24"/>
          <w:szCs w:val="24"/>
        </w:rPr>
        <w:footnoteReference w:id="58"/>
      </w:r>
      <w:r w:rsidR="00E67524" w:rsidRPr="00DC3EAF">
        <w:rPr>
          <w:rFonts w:ascii="Times New Roman" w:hAnsi="Times New Roman" w:cs="Times New Roman"/>
          <w:sz w:val="24"/>
          <w:szCs w:val="24"/>
        </w:rPr>
        <w:t xml:space="preserve"> In that case the Court struck down a federal statute that severely limited the right of landowners to terminate garden leases. The historical background of the statute and changes in social conditions are crucial to understanding the decision. At one time in German history it was common for large landowners, particularly on the outskirts of cities, to lease to people who owned little or no land small plots for the purpose of small gardens. These garden plots were an important method of feeding the German public.  As the dominant means of agricultural production shifted to large-scale commercial productions, these individual garden plots lost their original social purpose and indeed became something of </w:t>
      </w:r>
      <w:r w:rsidR="00E67524" w:rsidRPr="00DC3EAF">
        <w:rPr>
          <w:rFonts w:ascii="Times New Roman" w:hAnsi="Times New Roman" w:cs="Times New Roman"/>
          <w:sz w:val="24"/>
          <w:szCs w:val="24"/>
        </w:rPr>
        <w:lastRenderedPageBreak/>
        <w:t>an anachronism. The individual landowners in the case wanted to change the use of their land from agricultural purposes to commercial development because the amount of annual rent from the leasehold had become insubstantial.</w:t>
      </w:r>
      <w:r w:rsidR="007B6934">
        <w:rPr>
          <w:rFonts w:ascii="Times New Roman" w:hAnsi="Times New Roman" w:cs="Times New Roman"/>
          <w:sz w:val="24"/>
          <w:szCs w:val="24"/>
        </w:rPr>
        <w:t xml:space="preserve"> </w:t>
      </w:r>
      <w:r w:rsidR="00E67524" w:rsidRPr="00DC3EAF">
        <w:rPr>
          <w:rFonts w:ascii="Times New Roman" w:hAnsi="Times New Roman" w:cs="Times New Roman"/>
          <w:sz w:val="24"/>
          <w:szCs w:val="24"/>
        </w:rPr>
        <w:t>They applied for a permit to terminate the garden lease on their land, but the regulatory agency refused to grant the permit because the federal statute did not recognize this sort of change of circumstances as a permissible basis for terminating leases. The Court held that the statute was unconstitutional because the magnitude of the restriction on the owner</w:t>
      </w:r>
      <w:r w:rsidR="00593BCE" w:rsidRPr="00DC3EAF">
        <w:rPr>
          <w:rFonts w:ascii="Times New Roman" w:hAnsi="Times New Roman" w:cs="Times New Roman"/>
          <w:sz w:val="24"/>
          <w:szCs w:val="24"/>
        </w:rPr>
        <w:t>’</w:t>
      </w:r>
      <w:r w:rsidR="00E67524" w:rsidRPr="00DC3EAF">
        <w:rPr>
          <w:rFonts w:ascii="Times New Roman" w:hAnsi="Times New Roman" w:cs="Times New Roman"/>
          <w:sz w:val="24"/>
          <w:szCs w:val="24"/>
        </w:rPr>
        <w:t>s freedom of use was disproportionate to th</w:t>
      </w:r>
      <w:r w:rsidR="00593BCE" w:rsidRPr="00DC3EAF">
        <w:rPr>
          <w:rFonts w:ascii="Times New Roman" w:hAnsi="Times New Roman" w:cs="Times New Roman"/>
          <w:sz w:val="24"/>
          <w:szCs w:val="24"/>
        </w:rPr>
        <w:t xml:space="preserve">e public purpose to be served. </w:t>
      </w:r>
      <w:r w:rsidR="00E67524" w:rsidRPr="00DC3EAF">
        <w:rPr>
          <w:rFonts w:ascii="Times New Roman" w:hAnsi="Times New Roman" w:cs="Times New Roman"/>
          <w:sz w:val="24"/>
          <w:szCs w:val="24"/>
        </w:rPr>
        <w:t>While the original function of these garden allotments was to provide a source of food in times of social emergency, the purpose had by modern times become no more than to be a source of recreation, a social function that the court regarded as decidedly less weighty than its original purpose. Comparing the weakness of the new function with the severity of the restriction on the owners</w:t>
      </w:r>
      <w:r w:rsidR="00593BCE" w:rsidRPr="00DC3EAF">
        <w:rPr>
          <w:rFonts w:ascii="Times New Roman" w:hAnsi="Times New Roman" w:cs="Times New Roman"/>
          <w:sz w:val="24"/>
          <w:szCs w:val="24"/>
        </w:rPr>
        <w:t>’</w:t>
      </w:r>
      <w:r w:rsidR="00E67524" w:rsidRPr="00DC3EAF">
        <w:rPr>
          <w:rFonts w:ascii="Times New Roman" w:hAnsi="Times New Roman" w:cs="Times New Roman"/>
          <w:sz w:val="24"/>
          <w:szCs w:val="24"/>
        </w:rPr>
        <w:t xml:space="preserve"> use, the court had little difficulty</w:t>
      </w:r>
      <w:r w:rsidR="00593BCE" w:rsidRPr="00DC3EAF">
        <w:rPr>
          <w:rFonts w:ascii="Times New Roman" w:hAnsi="Times New Roman" w:cs="Times New Roman"/>
          <w:sz w:val="24"/>
          <w:szCs w:val="24"/>
        </w:rPr>
        <w:t xml:space="preserve"> </w:t>
      </w:r>
      <w:r w:rsidR="00D85FB7" w:rsidRPr="00DC3EAF">
        <w:rPr>
          <w:rFonts w:ascii="Times New Roman" w:hAnsi="Times New Roman" w:cs="Times New Roman"/>
          <w:sz w:val="24"/>
          <w:szCs w:val="24"/>
        </w:rPr>
        <w:t>in concluding that the statute was unconstitutional.</w:t>
      </w:r>
    </w:p>
    <w:p w:rsidR="00FA6746" w:rsidRDefault="00FA6746" w:rsidP="00DC3EAF">
      <w:pPr>
        <w:pStyle w:val="NoSpacing"/>
        <w:rPr>
          <w:rFonts w:ascii="Times New Roman" w:hAnsi="Times New Roman" w:cs="Times New Roman"/>
          <w:sz w:val="24"/>
          <w:szCs w:val="24"/>
        </w:rPr>
      </w:pPr>
    </w:p>
    <w:p w:rsidR="00FA6746" w:rsidRPr="00C472CE" w:rsidRDefault="00FA6746" w:rsidP="00DC3EAF">
      <w:pPr>
        <w:pStyle w:val="NoSpacing"/>
        <w:rPr>
          <w:rFonts w:ascii="Times New Roman" w:hAnsi="Times New Roman" w:cs="Times New Roman"/>
          <w:i/>
          <w:sz w:val="24"/>
          <w:szCs w:val="24"/>
        </w:rPr>
      </w:pPr>
      <w:r w:rsidRPr="00C472CE">
        <w:rPr>
          <w:rFonts w:ascii="Times New Roman" w:hAnsi="Times New Roman" w:cs="Times New Roman"/>
          <w:i/>
          <w:sz w:val="24"/>
          <w:szCs w:val="24"/>
        </w:rPr>
        <w:t>Purposive Analysis Is C</w:t>
      </w:r>
      <w:r w:rsidR="0095493B" w:rsidRPr="00C472CE">
        <w:rPr>
          <w:rFonts w:ascii="Times New Roman" w:hAnsi="Times New Roman" w:cs="Times New Roman"/>
          <w:i/>
          <w:sz w:val="24"/>
          <w:szCs w:val="24"/>
        </w:rPr>
        <w:t>omprehensive</w:t>
      </w:r>
    </w:p>
    <w:p w:rsidR="007B6934" w:rsidRDefault="007B6934" w:rsidP="00DC3EAF">
      <w:pPr>
        <w:pStyle w:val="NoSpacing"/>
        <w:rPr>
          <w:rFonts w:ascii="Times New Roman" w:hAnsi="Times New Roman" w:cs="Times New Roman"/>
          <w:sz w:val="24"/>
          <w:szCs w:val="24"/>
        </w:rPr>
      </w:pPr>
    </w:p>
    <w:p w:rsidR="007B6934" w:rsidRDefault="009A06B2" w:rsidP="00DC3EAF">
      <w:pPr>
        <w:pStyle w:val="NoSpacing"/>
        <w:rPr>
          <w:rFonts w:ascii="Times New Roman" w:hAnsi="Times New Roman" w:cs="Times New Roman"/>
          <w:sz w:val="24"/>
          <w:szCs w:val="24"/>
        </w:rPr>
      </w:pPr>
      <w:r>
        <w:rPr>
          <w:rFonts w:ascii="Times New Roman" w:hAnsi="Times New Roman" w:cs="Times New Roman"/>
          <w:sz w:val="24"/>
          <w:szCs w:val="24"/>
        </w:rPr>
        <w:tab/>
        <w:t xml:space="preserve">There is one final aspect of the purposive approach that needs to be mentioned. Purposive reasoning requires consideration of </w:t>
      </w:r>
      <w:r w:rsidR="00C41812">
        <w:rPr>
          <w:rFonts w:ascii="Times New Roman" w:hAnsi="Times New Roman" w:cs="Times New Roman"/>
          <w:sz w:val="24"/>
          <w:szCs w:val="24"/>
        </w:rPr>
        <w:t xml:space="preserve">the implicated values as they apply to both parties, i.e., the owner whose land the state seeks to expropriate and the intended </w:t>
      </w:r>
      <w:proofErr w:type="gramStart"/>
      <w:r w:rsidR="00C41812">
        <w:rPr>
          <w:rFonts w:ascii="Times New Roman" w:hAnsi="Times New Roman" w:cs="Times New Roman"/>
          <w:sz w:val="24"/>
          <w:szCs w:val="24"/>
        </w:rPr>
        <w:t>beneficiary(</w:t>
      </w:r>
      <w:proofErr w:type="spellStart"/>
      <w:proofErr w:type="gramEnd"/>
      <w:r w:rsidR="00C41812">
        <w:rPr>
          <w:rFonts w:ascii="Times New Roman" w:hAnsi="Times New Roman" w:cs="Times New Roman"/>
          <w:sz w:val="24"/>
          <w:szCs w:val="24"/>
        </w:rPr>
        <w:t>ies</w:t>
      </w:r>
      <w:proofErr w:type="spellEnd"/>
      <w:r w:rsidR="00C41812">
        <w:rPr>
          <w:rFonts w:ascii="Times New Roman" w:hAnsi="Times New Roman" w:cs="Times New Roman"/>
          <w:sz w:val="24"/>
          <w:szCs w:val="24"/>
        </w:rPr>
        <w:t xml:space="preserve">) of the expropriation. </w:t>
      </w:r>
      <w:r w:rsidR="00DB0ED8">
        <w:rPr>
          <w:rFonts w:ascii="Times New Roman" w:hAnsi="Times New Roman" w:cs="Times New Roman"/>
          <w:sz w:val="24"/>
          <w:szCs w:val="24"/>
        </w:rPr>
        <w:t>Purposive reasoning is comprehensive, and the purposes of all affected property interests and</w:t>
      </w:r>
      <w:r w:rsidR="00CD7728">
        <w:rPr>
          <w:rFonts w:ascii="Times New Roman" w:hAnsi="Times New Roman" w:cs="Times New Roman"/>
          <w:sz w:val="24"/>
          <w:szCs w:val="24"/>
        </w:rPr>
        <w:t xml:space="preserve"> their attendant values matter in the public-use calculus. Such a comprehensive approach is necessary if the basic commitment to promoting human flourishing is to be taken seriously. Equality is itself a constituent element of human flourishing, and treating all of the affected parties as equals requires that we give each of them their due in terms of </w:t>
      </w:r>
      <w:r w:rsidR="009C2B4A">
        <w:rPr>
          <w:rFonts w:ascii="Times New Roman" w:hAnsi="Times New Roman" w:cs="Times New Roman"/>
          <w:sz w:val="24"/>
          <w:szCs w:val="24"/>
        </w:rPr>
        <w:t>evaluating their interests at stake.</w:t>
      </w:r>
    </w:p>
    <w:p w:rsidR="0055706E" w:rsidRDefault="0055706E" w:rsidP="00DC3EAF">
      <w:pPr>
        <w:pStyle w:val="NoSpacing"/>
        <w:rPr>
          <w:rFonts w:ascii="Times New Roman" w:hAnsi="Times New Roman" w:cs="Times New Roman"/>
          <w:sz w:val="24"/>
          <w:szCs w:val="24"/>
        </w:rPr>
      </w:pPr>
    </w:p>
    <w:p w:rsidR="0055706E" w:rsidRPr="0079777E" w:rsidRDefault="0055706E" w:rsidP="008D4D85">
      <w:pPr>
        <w:pStyle w:val="NoSpacing"/>
        <w:jc w:val="center"/>
        <w:rPr>
          <w:rFonts w:ascii="Times New Roman" w:hAnsi="Times New Roman" w:cs="Times New Roman"/>
          <w:sz w:val="24"/>
          <w:szCs w:val="24"/>
          <w:u w:val="single"/>
        </w:rPr>
      </w:pPr>
      <w:r w:rsidRPr="0079777E">
        <w:rPr>
          <w:rFonts w:ascii="Times New Roman" w:hAnsi="Times New Roman" w:cs="Times New Roman"/>
          <w:sz w:val="24"/>
          <w:szCs w:val="24"/>
          <w:u w:val="single"/>
        </w:rPr>
        <w:t>Capabilities</w:t>
      </w:r>
      <w:r w:rsidR="00530FA1" w:rsidRPr="0079777E">
        <w:rPr>
          <w:rFonts w:ascii="Times New Roman" w:hAnsi="Times New Roman" w:cs="Times New Roman"/>
          <w:sz w:val="24"/>
          <w:szCs w:val="24"/>
          <w:u w:val="single"/>
        </w:rPr>
        <w:t>,</w:t>
      </w:r>
      <w:r w:rsidRPr="0079777E">
        <w:rPr>
          <w:rFonts w:ascii="Times New Roman" w:hAnsi="Times New Roman" w:cs="Times New Roman"/>
          <w:sz w:val="24"/>
          <w:szCs w:val="24"/>
          <w:u w:val="single"/>
        </w:rPr>
        <w:t xml:space="preserve"> Values</w:t>
      </w:r>
      <w:r w:rsidR="00530FA1" w:rsidRPr="0079777E">
        <w:rPr>
          <w:rFonts w:ascii="Times New Roman" w:hAnsi="Times New Roman" w:cs="Times New Roman"/>
          <w:sz w:val="24"/>
          <w:szCs w:val="24"/>
          <w:u w:val="single"/>
        </w:rPr>
        <w:t>, and Resources</w:t>
      </w:r>
    </w:p>
    <w:p w:rsidR="0055706E" w:rsidRDefault="0055706E" w:rsidP="00DC3EAF">
      <w:pPr>
        <w:pStyle w:val="NoSpacing"/>
        <w:rPr>
          <w:rFonts w:ascii="Times New Roman" w:hAnsi="Times New Roman" w:cs="Times New Roman"/>
          <w:sz w:val="24"/>
          <w:szCs w:val="24"/>
        </w:rPr>
      </w:pPr>
    </w:p>
    <w:p w:rsidR="0055706E" w:rsidRDefault="0055706E" w:rsidP="00DC3EAF">
      <w:pPr>
        <w:pStyle w:val="NoSpacing"/>
        <w:rPr>
          <w:rFonts w:ascii="Times New Roman" w:hAnsi="Times New Roman" w:cs="Times New Roman"/>
          <w:sz w:val="24"/>
          <w:szCs w:val="24"/>
        </w:rPr>
      </w:pPr>
      <w:r>
        <w:rPr>
          <w:rFonts w:ascii="Times New Roman" w:hAnsi="Times New Roman" w:cs="Times New Roman"/>
          <w:sz w:val="24"/>
          <w:szCs w:val="24"/>
        </w:rPr>
        <w:tab/>
        <w:t xml:space="preserve">How do the capabilities that I briefly discussed earlier relate to this purposive analysis of property’s values? </w:t>
      </w:r>
      <w:r w:rsidR="00DC3BAB">
        <w:rPr>
          <w:rFonts w:ascii="Times New Roman" w:hAnsi="Times New Roman" w:cs="Times New Roman"/>
          <w:sz w:val="24"/>
          <w:szCs w:val="24"/>
        </w:rPr>
        <w:t xml:space="preserve">Stated put, the capabilities as the means by which the relevant values are protected and </w:t>
      </w:r>
      <w:r w:rsidR="00302AA4">
        <w:rPr>
          <w:rFonts w:ascii="Times New Roman" w:hAnsi="Times New Roman" w:cs="Times New Roman"/>
          <w:sz w:val="24"/>
          <w:szCs w:val="24"/>
        </w:rPr>
        <w:t>realiz</w:t>
      </w:r>
      <w:r w:rsidR="00DC3BAB">
        <w:rPr>
          <w:rFonts w:ascii="Times New Roman" w:hAnsi="Times New Roman" w:cs="Times New Roman"/>
          <w:sz w:val="24"/>
          <w:szCs w:val="24"/>
        </w:rPr>
        <w:t xml:space="preserve">ed. </w:t>
      </w:r>
      <w:r w:rsidR="0014709F">
        <w:rPr>
          <w:rFonts w:ascii="Times New Roman" w:hAnsi="Times New Roman" w:cs="Times New Roman"/>
          <w:sz w:val="24"/>
          <w:szCs w:val="24"/>
        </w:rPr>
        <w:t xml:space="preserve">As I indicated previously, human flourishing is constituted by multiple values which cannot </w:t>
      </w:r>
      <w:proofErr w:type="gramStart"/>
      <w:r w:rsidR="0014709F">
        <w:rPr>
          <w:rFonts w:ascii="Times New Roman" w:hAnsi="Times New Roman" w:cs="Times New Roman"/>
          <w:sz w:val="24"/>
          <w:szCs w:val="24"/>
        </w:rPr>
        <w:t>reduced</w:t>
      </w:r>
      <w:proofErr w:type="gramEnd"/>
      <w:r w:rsidR="0014709F">
        <w:rPr>
          <w:rFonts w:ascii="Times New Roman" w:hAnsi="Times New Roman" w:cs="Times New Roman"/>
          <w:sz w:val="24"/>
          <w:szCs w:val="24"/>
        </w:rPr>
        <w:t xml:space="preserve"> to any single foundational value. These values are themselves realized through certain human capabilities. </w:t>
      </w:r>
      <w:r w:rsidR="00BC62FD">
        <w:rPr>
          <w:rFonts w:ascii="Times New Roman" w:hAnsi="Times New Roman" w:cs="Times New Roman"/>
          <w:sz w:val="24"/>
          <w:szCs w:val="24"/>
        </w:rPr>
        <w:t xml:space="preserve">Different values depend upon different, and sometimes multiple, capabilities, in order to be realized. </w:t>
      </w:r>
    </w:p>
    <w:p w:rsidR="00530FA1" w:rsidRDefault="00530FA1" w:rsidP="00DC3EAF">
      <w:pPr>
        <w:pStyle w:val="NoSpacing"/>
        <w:rPr>
          <w:rFonts w:ascii="Times New Roman" w:hAnsi="Times New Roman" w:cs="Times New Roman"/>
          <w:sz w:val="24"/>
          <w:szCs w:val="24"/>
        </w:rPr>
      </w:pPr>
    </w:p>
    <w:p w:rsidR="0021327B" w:rsidRDefault="00031013" w:rsidP="00E90A62">
      <w:pPr>
        <w:pStyle w:val="NoSpacing"/>
        <w:rPr>
          <w:rFonts w:ascii="Times New Roman" w:hAnsi="Times New Roman" w:cs="Times New Roman"/>
          <w:sz w:val="24"/>
          <w:szCs w:val="24"/>
        </w:rPr>
      </w:pPr>
      <w:r>
        <w:rPr>
          <w:rFonts w:ascii="Times New Roman" w:hAnsi="Times New Roman" w:cs="Times New Roman"/>
          <w:sz w:val="24"/>
          <w:szCs w:val="24"/>
        </w:rPr>
        <w:tab/>
      </w:r>
      <w:r w:rsidR="00530FA1">
        <w:rPr>
          <w:rFonts w:ascii="Times New Roman" w:hAnsi="Times New Roman" w:cs="Times New Roman"/>
          <w:sz w:val="24"/>
          <w:szCs w:val="24"/>
        </w:rPr>
        <w:t xml:space="preserve">Capabilities themselves sometimes require </w:t>
      </w:r>
      <w:r>
        <w:rPr>
          <w:rFonts w:ascii="Times New Roman" w:hAnsi="Times New Roman" w:cs="Times New Roman"/>
          <w:sz w:val="24"/>
          <w:szCs w:val="24"/>
        </w:rPr>
        <w:t xml:space="preserve">particular </w:t>
      </w:r>
      <w:r w:rsidR="00530FA1">
        <w:rPr>
          <w:rFonts w:ascii="Times New Roman" w:hAnsi="Times New Roman" w:cs="Times New Roman"/>
          <w:sz w:val="24"/>
          <w:szCs w:val="24"/>
        </w:rPr>
        <w:t>resources for their nurturing and development.</w:t>
      </w:r>
      <w:r>
        <w:rPr>
          <w:rFonts w:ascii="Times New Roman" w:hAnsi="Times New Roman" w:cs="Times New Roman"/>
          <w:sz w:val="24"/>
          <w:szCs w:val="24"/>
        </w:rPr>
        <w:t xml:space="preserve"> </w:t>
      </w:r>
      <w:r w:rsidRPr="00031013">
        <w:rPr>
          <w:rFonts w:ascii="Times New Roman" w:hAnsi="Times New Roman" w:cs="Times New Roman"/>
          <w:sz w:val="24"/>
          <w:szCs w:val="24"/>
        </w:rPr>
        <w:t>The capabilities of life and freedom, for example, are virtually meaningless if someone does not have a place they are entitled to be.</w:t>
      </w:r>
      <w:r>
        <w:rPr>
          <w:rStyle w:val="FootnoteReference"/>
          <w:rFonts w:ascii="Times New Roman" w:hAnsi="Times New Roman" w:cs="Times New Roman"/>
          <w:sz w:val="24"/>
          <w:szCs w:val="24"/>
        </w:rPr>
        <w:footnoteReference w:id="59"/>
      </w:r>
      <w:r w:rsidR="00B16B80">
        <w:rPr>
          <w:rFonts w:ascii="Times New Roman" w:hAnsi="Times New Roman" w:cs="Times New Roman"/>
          <w:sz w:val="24"/>
          <w:szCs w:val="24"/>
        </w:rPr>
        <w:t xml:space="preserve"> </w:t>
      </w:r>
      <w:r w:rsidR="00DA5D4F">
        <w:rPr>
          <w:rFonts w:ascii="Times New Roman" w:hAnsi="Times New Roman" w:cs="Times New Roman"/>
          <w:sz w:val="24"/>
          <w:szCs w:val="24"/>
        </w:rPr>
        <w:t>An abode, a home, is essential for the dev</w:t>
      </w:r>
      <w:r w:rsidR="00871C88">
        <w:rPr>
          <w:rFonts w:ascii="Times New Roman" w:hAnsi="Times New Roman" w:cs="Times New Roman"/>
          <w:sz w:val="24"/>
          <w:szCs w:val="24"/>
        </w:rPr>
        <w:t xml:space="preserve">elopment of these capabilities, their attendant values, such as personal autonomy, and ultimately a well-lived life. </w:t>
      </w:r>
      <w:r w:rsidR="00BC782D">
        <w:rPr>
          <w:rFonts w:ascii="Times New Roman" w:hAnsi="Times New Roman" w:cs="Times New Roman"/>
          <w:sz w:val="24"/>
          <w:szCs w:val="24"/>
        </w:rPr>
        <w:t xml:space="preserve">A homeless person does not live a well-lived life even if it is his preference to be homeless. </w:t>
      </w:r>
      <w:r w:rsidR="008E45A7">
        <w:rPr>
          <w:rFonts w:ascii="Times New Roman" w:hAnsi="Times New Roman" w:cs="Times New Roman"/>
          <w:sz w:val="24"/>
          <w:szCs w:val="24"/>
        </w:rPr>
        <w:t xml:space="preserve">Such a </w:t>
      </w:r>
      <w:r w:rsidR="008E45A7" w:rsidRPr="008E45A7">
        <w:rPr>
          <w:rFonts w:ascii="Times New Roman" w:hAnsi="Times New Roman" w:cs="Times New Roman"/>
          <w:sz w:val="24"/>
          <w:szCs w:val="24"/>
        </w:rPr>
        <w:t>person, accustomed to receiving little more than abuse or neglect, may come to expect little more out of life.</w:t>
      </w:r>
      <w:r w:rsidR="008E45A7">
        <w:rPr>
          <w:rFonts w:ascii="Times New Roman" w:hAnsi="Times New Roman" w:cs="Times New Roman"/>
          <w:sz w:val="24"/>
          <w:szCs w:val="24"/>
        </w:rPr>
        <w:t xml:space="preserve"> As </w:t>
      </w:r>
      <w:proofErr w:type="spellStart"/>
      <w:r w:rsidR="008E45A7">
        <w:rPr>
          <w:rFonts w:ascii="Times New Roman" w:hAnsi="Times New Roman" w:cs="Times New Roman"/>
          <w:sz w:val="24"/>
          <w:szCs w:val="24"/>
        </w:rPr>
        <w:t>Amartya</w:t>
      </w:r>
      <w:proofErr w:type="spellEnd"/>
      <w:r w:rsidR="008E45A7">
        <w:rPr>
          <w:rFonts w:ascii="Times New Roman" w:hAnsi="Times New Roman" w:cs="Times New Roman"/>
          <w:sz w:val="24"/>
          <w:szCs w:val="24"/>
        </w:rPr>
        <w:t xml:space="preserve"> Sen points out, </w:t>
      </w:r>
      <w:r w:rsidR="00E37A07" w:rsidRPr="00E37A07">
        <w:rPr>
          <w:rFonts w:ascii="Times New Roman" w:hAnsi="Times New Roman" w:cs="Times New Roman"/>
          <w:sz w:val="24"/>
          <w:szCs w:val="24"/>
        </w:rPr>
        <w:sym w:font="WP TypographicSymbols" w:char="0041"/>
      </w:r>
      <w:proofErr w:type="gramStart"/>
      <w:r w:rsidR="00E37A07" w:rsidRPr="00E37A07">
        <w:rPr>
          <w:rFonts w:ascii="Times New Roman" w:hAnsi="Times New Roman" w:cs="Times New Roman"/>
          <w:sz w:val="24"/>
          <w:szCs w:val="24"/>
        </w:rPr>
        <w:t>A</w:t>
      </w:r>
      <w:proofErr w:type="gramEnd"/>
      <w:r w:rsidR="00E37A07" w:rsidRPr="00E37A07">
        <w:rPr>
          <w:rFonts w:ascii="Times New Roman" w:hAnsi="Times New Roman" w:cs="Times New Roman"/>
          <w:sz w:val="24"/>
          <w:szCs w:val="24"/>
        </w:rPr>
        <w:t xml:space="preserve"> person who is ill-fed, undernourished, unsheltered and ill can still be high up in the scale of happiness or desire-fulfillment if he or she has learned to have </w:t>
      </w:r>
      <w:r w:rsidR="00E37A07" w:rsidRPr="00E37A07">
        <w:rPr>
          <w:rFonts w:ascii="Times New Roman" w:hAnsi="Times New Roman" w:cs="Times New Roman"/>
          <w:sz w:val="24"/>
          <w:szCs w:val="24"/>
        </w:rPr>
        <w:sym w:font="WP TypographicSymbols" w:char="003E"/>
      </w:r>
      <w:r w:rsidR="00E37A07" w:rsidRPr="00E37A07">
        <w:rPr>
          <w:rFonts w:ascii="Times New Roman" w:hAnsi="Times New Roman" w:cs="Times New Roman"/>
          <w:sz w:val="24"/>
          <w:szCs w:val="24"/>
        </w:rPr>
        <w:t>realistic</w:t>
      </w:r>
      <w:r w:rsidR="00E37A07" w:rsidRPr="00E37A07">
        <w:rPr>
          <w:rFonts w:ascii="Times New Roman" w:hAnsi="Times New Roman" w:cs="Times New Roman"/>
          <w:sz w:val="24"/>
          <w:szCs w:val="24"/>
        </w:rPr>
        <w:sym w:font="WP TypographicSymbols" w:char="003D"/>
      </w:r>
      <w:r w:rsidR="00E37A07" w:rsidRPr="00E37A07">
        <w:rPr>
          <w:rFonts w:ascii="Times New Roman" w:hAnsi="Times New Roman" w:cs="Times New Roman"/>
          <w:sz w:val="24"/>
          <w:szCs w:val="24"/>
        </w:rPr>
        <w:t xml:space="preserve"> desires and to take pleasure in small </w:t>
      </w:r>
      <w:r w:rsidR="00E37A07" w:rsidRPr="00E37A07">
        <w:rPr>
          <w:rFonts w:ascii="Times New Roman" w:hAnsi="Times New Roman" w:cs="Times New Roman"/>
          <w:sz w:val="24"/>
          <w:szCs w:val="24"/>
        </w:rPr>
        <w:lastRenderedPageBreak/>
        <w:t>mercies.</w:t>
      </w:r>
      <w:r w:rsidR="00E37A07" w:rsidRPr="00E37A07">
        <w:rPr>
          <w:rFonts w:ascii="Times New Roman" w:hAnsi="Times New Roman" w:cs="Times New Roman"/>
          <w:sz w:val="24"/>
          <w:szCs w:val="24"/>
        </w:rPr>
        <w:sym w:font="WP TypographicSymbols" w:char="0040"/>
      </w:r>
      <w:r w:rsidR="00E37A07">
        <w:rPr>
          <w:rStyle w:val="FootnoteReference"/>
          <w:rFonts w:ascii="Times New Roman" w:hAnsi="Times New Roman" w:cs="Times New Roman"/>
          <w:sz w:val="24"/>
          <w:szCs w:val="24"/>
        </w:rPr>
        <w:footnoteReference w:id="60"/>
      </w:r>
      <w:r w:rsidR="002B328A">
        <w:rPr>
          <w:rFonts w:ascii="Times New Roman" w:hAnsi="Times New Roman" w:cs="Times New Roman"/>
          <w:sz w:val="24"/>
          <w:szCs w:val="24"/>
        </w:rPr>
        <w:t xml:space="preserve"> </w:t>
      </w:r>
      <w:r w:rsidR="009368D1">
        <w:rPr>
          <w:rFonts w:ascii="Times New Roman" w:hAnsi="Times New Roman" w:cs="Times New Roman"/>
          <w:sz w:val="24"/>
          <w:szCs w:val="24"/>
        </w:rPr>
        <w:t xml:space="preserve">Certain basic resources, then, are essential for human flourishing, and, given property law’s commitment to human flourishing, those essential resources warrant legal protection. </w:t>
      </w:r>
    </w:p>
    <w:p w:rsidR="008D13BB" w:rsidRDefault="008D13BB" w:rsidP="00E90A62">
      <w:pPr>
        <w:pStyle w:val="NoSpacing"/>
        <w:rPr>
          <w:rFonts w:ascii="Times New Roman" w:hAnsi="Times New Roman" w:cs="Times New Roman"/>
          <w:sz w:val="24"/>
          <w:szCs w:val="24"/>
        </w:rPr>
      </w:pPr>
    </w:p>
    <w:p w:rsidR="008D13BB" w:rsidRPr="006D2ED2" w:rsidRDefault="008D13BB" w:rsidP="00D8247A">
      <w:pPr>
        <w:pStyle w:val="NoSpacing"/>
        <w:jc w:val="center"/>
        <w:rPr>
          <w:rFonts w:ascii="Times New Roman" w:hAnsi="Times New Roman" w:cs="Times New Roman"/>
          <w:b/>
          <w:smallCaps/>
          <w:sz w:val="24"/>
          <w:szCs w:val="24"/>
        </w:rPr>
      </w:pPr>
      <w:proofErr w:type="spellStart"/>
      <w:r w:rsidRPr="006D2ED2">
        <w:rPr>
          <w:rFonts w:ascii="Times New Roman" w:hAnsi="Times New Roman" w:cs="Times New Roman"/>
          <w:b/>
          <w:i/>
          <w:smallCaps/>
          <w:sz w:val="24"/>
          <w:szCs w:val="24"/>
        </w:rPr>
        <w:t>Kelo</w:t>
      </w:r>
      <w:proofErr w:type="spellEnd"/>
      <w:r w:rsidRPr="006D2ED2">
        <w:rPr>
          <w:rFonts w:ascii="Times New Roman" w:hAnsi="Times New Roman" w:cs="Times New Roman"/>
          <w:b/>
          <w:smallCaps/>
          <w:sz w:val="24"/>
          <w:szCs w:val="24"/>
        </w:rPr>
        <w:t xml:space="preserve"> Revisited</w:t>
      </w:r>
    </w:p>
    <w:p w:rsidR="008D13BB" w:rsidRDefault="008D13BB" w:rsidP="00E90A62">
      <w:pPr>
        <w:pStyle w:val="NoSpacing"/>
        <w:rPr>
          <w:rFonts w:ascii="Times New Roman" w:hAnsi="Times New Roman" w:cs="Times New Roman"/>
          <w:sz w:val="24"/>
          <w:szCs w:val="24"/>
        </w:rPr>
      </w:pPr>
    </w:p>
    <w:p w:rsidR="008D13BB" w:rsidRDefault="003951BB" w:rsidP="00E90A62">
      <w:pPr>
        <w:pStyle w:val="NoSpacing"/>
        <w:rPr>
          <w:rFonts w:ascii="Times New Roman" w:hAnsi="Times New Roman" w:cs="Times New Roman"/>
          <w:sz w:val="24"/>
          <w:szCs w:val="24"/>
        </w:rPr>
      </w:pPr>
      <w:r>
        <w:rPr>
          <w:rFonts w:ascii="Times New Roman" w:hAnsi="Times New Roman" w:cs="Times New Roman"/>
          <w:sz w:val="24"/>
          <w:szCs w:val="24"/>
        </w:rPr>
        <w:tab/>
      </w:r>
      <w:r w:rsidR="00121D91">
        <w:rPr>
          <w:rFonts w:ascii="Times New Roman" w:hAnsi="Times New Roman" w:cs="Times New Roman"/>
          <w:sz w:val="24"/>
          <w:szCs w:val="24"/>
        </w:rPr>
        <w:t xml:space="preserve">With the theoretical foundation laid, we can now return to </w:t>
      </w:r>
      <w:proofErr w:type="spellStart"/>
      <w:r w:rsidR="00121D91" w:rsidRPr="00121D91">
        <w:rPr>
          <w:rFonts w:ascii="Times New Roman" w:hAnsi="Times New Roman" w:cs="Times New Roman"/>
          <w:i/>
          <w:sz w:val="24"/>
          <w:szCs w:val="24"/>
        </w:rPr>
        <w:t>Kelo</w:t>
      </w:r>
      <w:proofErr w:type="spellEnd"/>
      <w:r w:rsidR="00121D91" w:rsidRPr="00121D91">
        <w:rPr>
          <w:rFonts w:ascii="Times New Roman" w:hAnsi="Times New Roman" w:cs="Times New Roman"/>
          <w:i/>
          <w:sz w:val="24"/>
          <w:szCs w:val="24"/>
        </w:rPr>
        <w:t xml:space="preserve"> </w:t>
      </w:r>
      <w:r w:rsidR="00121D91">
        <w:rPr>
          <w:rFonts w:ascii="Times New Roman" w:hAnsi="Times New Roman" w:cs="Times New Roman"/>
          <w:sz w:val="24"/>
          <w:szCs w:val="24"/>
        </w:rPr>
        <w:t xml:space="preserve">and revisit </w:t>
      </w:r>
      <w:r>
        <w:rPr>
          <w:rFonts w:ascii="Times New Roman" w:hAnsi="Times New Roman" w:cs="Times New Roman"/>
          <w:sz w:val="24"/>
          <w:szCs w:val="24"/>
        </w:rPr>
        <w:t xml:space="preserve">the public-use question in that case. </w:t>
      </w:r>
      <w:r w:rsidR="00150BE1">
        <w:rPr>
          <w:rFonts w:ascii="Times New Roman" w:hAnsi="Times New Roman" w:cs="Times New Roman"/>
          <w:sz w:val="24"/>
          <w:szCs w:val="24"/>
        </w:rPr>
        <w:t xml:space="preserve">The human-flourishing theory shifts the focus away from the government project involved, which was the Court’s sole concern, to </w:t>
      </w:r>
      <w:r w:rsidR="00150BE1" w:rsidRPr="00150BE1">
        <w:rPr>
          <w:rFonts w:ascii="Times New Roman" w:hAnsi="Times New Roman" w:cs="Times New Roman"/>
          <w:sz w:val="24"/>
          <w:szCs w:val="24"/>
        </w:rPr>
        <w:t>the values of property as a legally-protected, especially as a constitutionally-protected, interest.</w:t>
      </w:r>
      <w:r w:rsidR="006D2ED2">
        <w:rPr>
          <w:rFonts w:ascii="Times New Roman" w:hAnsi="Times New Roman" w:cs="Times New Roman"/>
          <w:sz w:val="24"/>
          <w:szCs w:val="24"/>
        </w:rPr>
        <w:t xml:space="preserve"> </w:t>
      </w:r>
      <w:r w:rsidR="00176534">
        <w:rPr>
          <w:rFonts w:ascii="Times New Roman" w:hAnsi="Times New Roman" w:cs="Times New Roman"/>
          <w:sz w:val="24"/>
          <w:szCs w:val="24"/>
        </w:rPr>
        <w:t>The theory asks which of property’s ends are implicated in the planned expropriation</w:t>
      </w:r>
      <w:r w:rsidR="003B65E5">
        <w:rPr>
          <w:rFonts w:ascii="Times New Roman" w:hAnsi="Times New Roman" w:cs="Times New Roman"/>
          <w:sz w:val="24"/>
          <w:szCs w:val="24"/>
        </w:rPr>
        <w:t xml:space="preserve"> and what are the human capabilities that attend those values</w:t>
      </w:r>
      <w:r w:rsidR="00176534">
        <w:rPr>
          <w:rFonts w:ascii="Times New Roman" w:hAnsi="Times New Roman" w:cs="Times New Roman"/>
          <w:sz w:val="24"/>
          <w:szCs w:val="24"/>
        </w:rPr>
        <w:t xml:space="preserve">? In </w:t>
      </w:r>
      <w:proofErr w:type="spellStart"/>
      <w:r w:rsidR="00176534" w:rsidRPr="00176534">
        <w:rPr>
          <w:rFonts w:ascii="Times New Roman" w:hAnsi="Times New Roman" w:cs="Times New Roman"/>
          <w:i/>
          <w:sz w:val="24"/>
          <w:szCs w:val="24"/>
        </w:rPr>
        <w:t>Kelo</w:t>
      </w:r>
      <w:proofErr w:type="spellEnd"/>
      <w:r w:rsidR="00176534">
        <w:rPr>
          <w:rFonts w:ascii="Times New Roman" w:hAnsi="Times New Roman" w:cs="Times New Roman"/>
          <w:sz w:val="24"/>
          <w:szCs w:val="24"/>
        </w:rPr>
        <w:t xml:space="preserve">, </w:t>
      </w:r>
      <w:r w:rsidR="006B05A6">
        <w:rPr>
          <w:rFonts w:ascii="Times New Roman" w:hAnsi="Times New Roman" w:cs="Times New Roman"/>
          <w:sz w:val="24"/>
          <w:szCs w:val="24"/>
        </w:rPr>
        <w:t xml:space="preserve">the asset that the city intended to expropriate had a particular and special function; it was the petitioner’s personal residence, her home. </w:t>
      </w:r>
      <w:r w:rsidR="00B15EDF">
        <w:rPr>
          <w:rFonts w:ascii="Times New Roman" w:hAnsi="Times New Roman" w:cs="Times New Roman"/>
          <w:sz w:val="24"/>
          <w:szCs w:val="24"/>
        </w:rPr>
        <w:t xml:space="preserve">As the German Constitutional Court recognizes, </w:t>
      </w:r>
      <w:r w:rsidR="00F42276">
        <w:rPr>
          <w:rFonts w:ascii="Times New Roman" w:hAnsi="Times New Roman" w:cs="Times New Roman"/>
          <w:sz w:val="24"/>
          <w:szCs w:val="24"/>
        </w:rPr>
        <w:t xml:space="preserve">the home merits relatively strong legal protection because of its core purposes, individual autonomy and personal security. </w:t>
      </w:r>
      <w:r w:rsidR="0056420C">
        <w:rPr>
          <w:rFonts w:ascii="Times New Roman" w:hAnsi="Times New Roman" w:cs="Times New Roman"/>
          <w:sz w:val="24"/>
          <w:szCs w:val="24"/>
        </w:rPr>
        <w:t xml:space="preserve">No one can live a well-lived life lacking security or under continual conditions of subordination in one’s personal sphere. </w:t>
      </w:r>
    </w:p>
    <w:p w:rsidR="0066665A" w:rsidRDefault="0066665A" w:rsidP="00E90A62">
      <w:pPr>
        <w:pStyle w:val="NoSpacing"/>
        <w:rPr>
          <w:rFonts w:ascii="Times New Roman" w:hAnsi="Times New Roman" w:cs="Times New Roman"/>
          <w:sz w:val="24"/>
          <w:szCs w:val="24"/>
        </w:rPr>
      </w:pPr>
    </w:p>
    <w:p w:rsidR="0066665A" w:rsidRDefault="0066665A" w:rsidP="00E90A62">
      <w:pPr>
        <w:pStyle w:val="NoSpacing"/>
        <w:rPr>
          <w:rFonts w:ascii="Times New Roman" w:hAnsi="Times New Roman" w:cs="Times New Roman"/>
          <w:sz w:val="24"/>
          <w:szCs w:val="24"/>
        </w:rPr>
      </w:pPr>
      <w:r>
        <w:rPr>
          <w:rFonts w:ascii="Times New Roman" w:hAnsi="Times New Roman" w:cs="Times New Roman"/>
          <w:sz w:val="24"/>
          <w:szCs w:val="24"/>
        </w:rPr>
        <w:tab/>
        <w:t>The home involves other values as well. Consider self-expression. People express themselves in many ways, of course, non-verbally as well as verbally. Dress</w:t>
      </w:r>
      <w:r w:rsidR="00AF19F0">
        <w:rPr>
          <w:rFonts w:ascii="Times New Roman" w:hAnsi="Times New Roman" w:cs="Times New Roman"/>
          <w:sz w:val="24"/>
          <w:szCs w:val="24"/>
        </w:rPr>
        <w:t xml:space="preserve"> and</w:t>
      </w:r>
      <w:r>
        <w:rPr>
          <w:rFonts w:ascii="Times New Roman" w:hAnsi="Times New Roman" w:cs="Times New Roman"/>
          <w:sz w:val="24"/>
          <w:szCs w:val="24"/>
        </w:rPr>
        <w:t xml:space="preserve"> conduct are obvious non-verbal expressions of oneself. So also are possessions, including the home. </w:t>
      </w:r>
      <w:r w:rsidR="00B071DA">
        <w:rPr>
          <w:rFonts w:ascii="Times New Roman" w:hAnsi="Times New Roman" w:cs="Times New Roman"/>
          <w:sz w:val="24"/>
          <w:szCs w:val="24"/>
        </w:rPr>
        <w:t xml:space="preserve">Indeed, for many people, one’s home is a primary mode of self-expression. Others can frequently grasp an immediate sense of a person’s identity by looking at his home, what type it is, </w:t>
      </w:r>
      <w:r w:rsidR="00292119">
        <w:rPr>
          <w:rFonts w:ascii="Times New Roman" w:hAnsi="Times New Roman" w:cs="Times New Roman"/>
          <w:sz w:val="24"/>
          <w:szCs w:val="24"/>
        </w:rPr>
        <w:t xml:space="preserve">where it is located, </w:t>
      </w:r>
      <w:r w:rsidR="00B071DA">
        <w:rPr>
          <w:rFonts w:ascii="Times New Roman" w:hAnsi="Times New Roman" w:cs="Times New Roman"/>
          <w:sz w:val="24"/>
          <w:szCs w:val="24"/>
        </w:rPr>
        <w:t>how it is decorate</w:t>
      </w:r>
      <w:r w:rsidR="00292119">
        <w:rPr>
          <w:rFonts w:ascii="Times New Roman" w:hAnsi="Times New Roman" w:cs="Times New Roman"/>
          <w:sz w:val="24"/>
          <w:szCs w:val="24"/>
        </w:rPr>
        <w:t>d</w:t>
      </w:r>
      <w:r w:rsidR="00B071DA">
        <w:rPr>
          <w:rFonts w:ascii="Times New Roman" w:hAnsi="Times New Roman" w:cs="Times New Roman"/>
          <w:sz w:val="24"/>
          <w:szCs w:val="24"/>
        </w:rPr>
        <w:t xml:space="preserve">, and so on. </w:t>
      </w:r>
    </w:p>
    <w:p w:rsidR="001646C7" w:rsidRDefault="001646C7" w:rsidP="00E90A62">
      <w:pPr>
        <w:pStyle w:val="NoSpacing"/>
        <w:rPr>
          <w:rFonts w:ascii="Times New Roman" w:hAnsi="Times New Roman" w:cs="Times New Roman"/>
          <w:sz w:val="24"/>
          <w:szCs w:val="24"/>
        </w:rPr>
      </w:pPr>
    </w:p>
    <w:p w:rsidR="00E751C0" w:rsidRDefault="001646C7" w:rsidP="00E90A62">
      <w:pPr>
        <w:pStyle w:val="NoSpacing"/>
        <w:rPr>
          <w:rFonts w:ascii="Times New Roman" w:hAnsi="Times New Roman" w:cs="Times New Roman"/>
          <w:sz w:val="24"/>
          <w:szCs w:val="24"/>
        </w:rPr>
      </w:pPr>
      <w:r>
        <w:rPr>
          <w:rFonts w:ascii="Times New Roman" w:hAnsi="Times New Roman" w:cs="Times New Roman"/>
          <w:sz w:val="24"/>
          <w:szCs w:val="24"/>
        </w:rPr>
        <w:tab/>
        <w:t xml:space="preserve">Responsibility is another of property’s ends that the home involves. Whether owned or rented, the home requires </w:t>
      </w:r>
      <w:r w:rsidR="00046BFF">
        <w:rPr>
          <w:rFonts w:ascii="Times New Roman" w:hAnsi="Times New Roman" w:cs="Times New Roman"/>
          <w:sz w:val="24"/>
          <w:szCs w:val="24"/>
        </w:rPr>
        <w:t>the individual to acquire skills and forward-looking and</w:t>
      </w:r>
      <w:r w:rsidR="00046BFF" w:rsidRPr="00046BFF">
        <w:rPr>
          <w:rFonts w:ascii="Times New Roman" w:hAnsi="Times New Roman" w:cs="Times New Roman"/>
          <w:sz w:val="24"/>
          <w:szCs w:val="24"/>
        </w:rPr>
        <w:t xml:space="preserve"> </w:t>
      </w:r>
      <w:r w:rsidR="00046BFF">
        <w:rPr>
          <w:rFonts w:ascii="Times New Roman" w:hAnsi="Times New Roman" w:cs="Times New Roman"/>
          <w:sz w:val="24"/>
          <w:szCs w:val="24"/>
        </w:rPr>
        <w:t>forward-looking and deliberative habits of thought that free him from caprice and whim and give him an understanding of the long-term, stable good.</w:t>
      </w:r>
      <w:r w:rsidR="00AF3983">
        <w:rPr>
          <w:rFonts w:ascii="Times New Roman" w:hAnsi="Times New Roman" w:cs="Times New Roman"/>
          <w:sz w:val="24"/>
          <w:szCs w:val="24"/>
        </w:rPr>
        <w:t xml:space="preserve"> At the same time I indicated earlier that responsibility also involves responsibility to others and that the state should protect property only to the extent that the owner fulfills this social responsibility. </w:t>
      </w:r>
      <w:r w:rsidR="00A74A2A">
        <w:rPr>
          <w:rFonts w:ascii="Times New Roman" w:hAnsi="Times New Roman" w:cs="Times New Roman"/>
          <w:sz w:val="24"/>
          <w:szCs w:val="24"/>
        </w:rPr>
        <w:t xml:space="preserve">The </w:t>
      </w:r>
      <w:r w:rsidR="00441B5F">
        <w:rPr>
          <w:rFonts w:ascii="Times New Roman" w:hAnsi="Times New Roman" w:cs="Times New Roman"/>
          <w:sz w:val="24"/>
          <w:szCs w:val="24"/>
        </w:rPr>
        <w:t>basic</w:t>
      </w:r>
      <w:r w:rsidR="00A74A2A">
        <w:rPr>
          <w:rFonts w:ascii="Times New Roman" w:hAnsi="Times New Roman" w:cs="Times New Roman"/>
          <w:sz w:val="24"/>
          <w:szCs w:val="24"/>
        </w:rPr>
        <w:t xml:space="preserve"> question in </w:t>
      </w:r>
      <w:proofErr w:type="spellStart"/>
      <w:r w:rsidR="00A74A2A" w:rsidRPr="00A74A2A">
        <w:rPr>
          <w:rFonts w:ascii="Times New Roman" w:hAnsi="Times New Roman" w:cs="Times New Roman"/>
          <w:i/>
          <w:sz w:val="24"/>
          <w:szCs w:val="24"/>
        </w:rPr>
        <w:t>Kelo</w:t>
      </w:r>
      <w:proofErr w:type="spellEnd"/>
      <w:r w:rsidR="00441B5F">
        <w:rPr>
          <w:rFonts w:ascii="Times New Roman" w:hAnsi="Times New Roman" w:cs="Times New Roman"/>
          <w:sz w:val="24"/>
          <w:szCs w:val="24"/>
        </w:rPr>
        <w:t xml:space="preserve">, of course, concerned the scope of </w:t>
      </w:r>
      <w:proofErr w:type="spellStart"/>
      <w:r w:rsidR="00441B5F">
        <w:rPr>
          <w:rFonts w:ascii="Times New Roman" w:hAnsi="Times New Roman" w:cs="Times New Roman"/>
          <w:sz w:val="24"/>
          <w:szCs w:val="24"/>
        </w:rPr>
        <w:t>Kelo’s</w:t>
      </w:r>
      <w:proofErr w:type="spellEnd"/>
      <w:r w:rsidR="00441B5F">
        <w:rPr>
          <w:rFonts w:ascii="Times New Roman" w:hAnsi="Times New Roman" w:cs="Times New Roman"/>
          <w:sz w:val="24"/>
          <w:szCs w:val="24"/>
        </w:rPr>
        <w:t xml:space="preserve"> social responsibility ─</w:t>
      </w:r>
      <w:r w:rsidR="00A74A2A">
        <w:rPr>
          <w:rFonts w:ascii="Times New Roman" w:hAnsi="Times New Roman" w:cs="Times New Roman"/>
          <w:sz w:val="24"/>
          <w:szCs w:val="24"/>
        </w:rPr>
        <w:t xml:space="preserve"> whether </w:t>
      </w:r>
      <w:r w:rsidR="00441B5F">
        <w:rPr>
          <w:rFonts w:ascii="Times New Roman" w:hAnsi="Times New Roman" w:cs="Times New Roman"/>
          <w:sz w:val="24"/>
          <w:szCs w:val="24"/>
        </w:rPr>
        <w:t xml:space="preserve">it implied subordination to the community’s need for economic development. We shall return to that question shortly, but first we need </w:t>
      </w:r>
      <w:r w:rsidR="00E751C0">
        <w:rPr>
          <w:rFonts w:ascii="Times New Roman" w:hAnsi="Times New Roman" w:cs="Times New Roman"/>
          <w:sz w:val="24"/>
          <w:szCs w:val="24"/>
        </w:rPr>
        <w:t>to consider the values and attendant capabilities at stake on the other side, the city and the ultimate beneficiaries of the intended expropriation.</w:t>
      </w:r>
    </w:p>
    <w:p w:rsidR="00E751C0" w:rsidRDefault="00E751C0" w:rsidP="00E90A62">
      <w:pPr>
        <w:pStyle w:val="NoSpacing"/>
        <w:rPr>
          <w:rFonts w:ascii="Times New Roman" w:hAnsi="Times New Roman" w:cs="Times New Roman"/>
          <w:sz w:val="24"/>
          <w:szCs w:val="24"/>
        </w:rPr>
      </w:pPr>
    </w:p>
    <w:p w:rsidR="001646C7" w:rsidRPr="000703C9" w:rsidRDefault="00EF4268" w:rsidP="00E90A62">
      <w:pPr>
        <w:pStyle w:val="NoSpacing"/>
        <w:rPr>
          <w:rFonts w:ascii="Times New Roman" w:hAnsi="Times New Roman" w:cs="Times New Roman"/>
          <w:sz w:val="24"/>
          <w:szCs w:val="24"/>
        </w:rPr>
      </w:pPr>
      <w:r>
        <w:rPr>
          <w:rFonts w:ascii="Times New Roman" w:hAnsi="Times New Roman" w:cs="Times New Roman"/>
          <w:sz w:val="24"/>
          <w:szCs w:val="24"/>
        </w:rPr>
        <w:tab/>
        <w:t>This is the stage at which the Court’s focus on economic development gains salience.</w:t>
      </w:r>
      <w:r w:rsidR="00AF3983">
        <w:rPr>
          <w:rFonts w:ascii="Times New Roman" w:hAnsi="Times New Roman" w:cs="Times New Roman"/>
          <w:sz w:val="24"/>
          <w:szCs w:val="24"/>
        </w:rPr>
        <w:t xml:space="preserve"> </w:t>
      </w:r>
      <w:r>
        <w:rPr>
          <w:rFonts w:ascii="Times New Roman" w:hAnsi="Times New Roman" w:cs="Times New Roman"/>
          <w:sz w:val="24"/>
          <w:szCs w:val="24"/>
        </w:rPr>
        <w:t xml:space="preserve">Still, the Court’s analysis of the community’s interest in economic development seems unilluminating. Recall that the Court mentioned only jobs and taxes as the aggregate social benefits that the city hoped to reap from the development project. </w:t>
      </w:r>
      <w:r w:rsidR="00A412EE">
        <w:rPr>
          <w:rFonts w:ascii="Times New Roman" w:hAnsi="Times New Roman" w:cs="Times New Roman"/>
          <w:sz w:val="24"/>
          <w:szCs w:val="24"/>
        </w:rPr>
        <w:t>That tells us little or nothing about the property values at stake in the city’s planned project or the human capabilities necessary to realize those values. What, then, are those values and capabilities?</w:t>
      </w:r>
    </w:p>
    <w:p w:rsidR="000775F4" w:rsidRDefault="000775F4" w:rsidP="00E47E1B">
      <w:pPr>
        <w:pStyle w:val="NoSpacing"/>
        <w:rPr>
          <w:rFonts w:ascii="Times New Roman" w:hAnsi="Times New Roman" w:cs="Times New Roman"/>
          <w:iCs/>
          <w:sz w:val="24"/>
          <w:szCs w:val="24"/>
        </w:rPr>
      </w:pPr>
    </w:p>
    <w:p w:rsidR="0085050B" w:rsidRDefault="00A412EE" w:rsidP="0085050B">
      <w:pPr>
        <w:pStyle w:val="NoSpacing"/>
        <w:rPr>
          <w:rFonts w:ascii="Times New Roman" w:hAnsi="Times New Roman" w:cs="Times New Roman"/>
          <w:sz w:val="24"/>
          <w:szCs w:val="24"/>
        </w:rPr>
      </w:pPr>
      <w:r>
        <w:rPr>
          <w:rFonts w:ascii="Times New Roman" w:hAnsi="Times New Roman" w:cs="Times New Roman"/>
          <w:sz w:val="24"/>
          <w:szCs w:val="24"/>
        </w:rPr>
        <w:tab/>
      </w:r>
      <w:r w:rsidR="0085050B" w:rsidRPr="008212C4">
        <w:rPr>
          <w:rFonts w:ascii="Times New Roman" w:hAnsi="Times New Roman" w:cs="Times New Roman"/>
          <w:sz w:val="24"/>
          <w:szCs w:val="24"/>
        </w:rPr>
        <w:t>The capa</w:t>
      </w:r>
      <w:r w:rsidR="00D16CB5">
        <w:rPr>
          <w:rFonts w:ascii="Times New Roman" w:hAnsi="Times New Roman" w:cs="Times New Roman"/>
          <w:sz w:val="24"/>
          <w:szCs w:val="24"/>
        </w:rPr>
        <w:t>bilit</w:t>
      </w:r>
      <w:r w:rsidR="0085050B" w:rsidRPr="008212C4">
        <w:rPr>
          <w:rFonts w:ascii="Times New Roman" w:hAnsi="Times New Roman" w:cs="Times New Roman"/>
          <w:sz w:val="24"/>
          <w:szCs w:val="24"/>
        </w:rPr>
        <w:t xml:space="preserve">ies necessary for individuals to flourish as autonomous moral agents require the existence not only of social networks within which individuals carry out the activities that </w:t>
      </w:r>
      <w:r w:rsidR="0085050B" w:rsidRPr="008212C4">
        <w:rPr>
          <w:rFonts w:ascii="Times New Roman" w:hAnsi="Times New Roman" w:cs="Times New Roman"/>
          <w:sz w:val="24"/>
          <w:szCs w:val="24"/>
        </w:rPr>
        <w:lastRenderedPageBreak/>
        <w:t xml:space="preserve">enable them to experience </w:t>
      </w:r>
      <w:r>
        <w:rPr>
          <w:rFonts w:ascii="Times New Roman" w:hAnsi="Times New Roman" w:cs="Times New Roman"/>
          <w:sz w:val="24"/>
          <w:szCs w:val="24"/>
        </w:rPr>
        <w:t xml:space="preserve">individual </w:t>
      </w:r>
      <w:r w:rsidR="0085050B" w:rsidRPr="008212C4">
        <w:rPr>
          <w:rFonts w:ascii="Times New Roman" w:hAnsi="Times New Roman" w:cs="Times New Roman"/>
          <w:sz w:val="24"/>
          <w:szCs w:val="24"/>
        </w:rPr>
        <w:t xml:space="preserve">freedom but also what Charles Taylor calls </w:t>
      </w:r>
      <w:r w:rsidR="0085050B" w:rsidRPr="008212C4">
        <w:rPr>
          <w:rFonts w:ascii="Times New Roman" w:hAnsi="Times New Roman" w:cs="Times New Roman"/>
          <w:sz w:val="24"/>
          <w:szCs w:val="24"/>
        </w:rPr>
        <w:sym w:font="WP TypographicSymbols" w:char="0041"/>
      </w:r>
      <w:r w:rsidR="0085050B" w:rsidRPr="008212C4">
        <w:rPr>
          <w:rFonts w:ascii="Times New Roman" w:hAnsi="Times New Roman" w:cs="Times New Roman"/>
          <w:sz w:val="24"/>
          <w:szCs w:val="24"/>
        </w:rPr>
        <w:t>the mundane elements of infrastructure without which we could not carry on these higher activities . . . .</w:t>
      </w:r>
      <w:r w:rsidR="0085050B" w:rsidRPr="008212C4">
        <w:rPr>
          <w:rFonts w:ascii="Times New Roman" w:hAnsi="Times New Roman" w:cs="Times New Roman"/>
          <w:sz w:val="24"/>
          <w:szCs w:val="24"/>
        </w:rPr>
        <w:sym w:font="WP TypographicSymbols" w:char="0040"/>
      </w:r>
      <w:r w:rsidR="0085050B">
        <w:rPr>
          <w:rStyle w:val="FootnoteReference"/>
          <w:rFonts w:ascii="Times New Roman" w:hAnsi="Times New Roman" w:cs="Times New Roman"/>
          <w:sz w:val="24"/>
          <w:szCs w:val="24"/>
        </w:rPr>
        <w:footnoteReference w:id="61"/>
      </w:r>
      <w:r w:rsidR="0085050B">
        <w:rPr>
          <w:rFonts w:ascii="Times New Roman" w:hAnsi="Times New Roman" w:cs="Times New Roman"/>
          <w:sz w:val="24"/>
          <w:szCs w:val="24"/>
        </w:rPr>
        <w:t xml:space="preserve"> </w:t>
      </w:r>
      <w:r w:rsidR="0085050B" w:rsidRPr="00484006">
        <w:rPr>
          <w:rFonts w:ascii="Times New Roman" w:hAnsi="Times New Roman" w:cs="Times New Roman"/>
          <w:sz w:val="24"/>
          <w:szCs w:val="24"/>
        </w:rPr>
        <w:t xml:space="preserve">These elements of infrastructure include just the sorts of public projects for which the power of eminent domain is typically exercised: roads, airports, utility lines, public buildings, </w:t>
      </w:r>
      <w:r>
        <w:rPr>
          <w:rFonts w:ascii="Times New Roman" w:hAnsi="Times New Roman" w:cs="Times New Roman"/>
          <w:sz w:val="24"/>
          <w:szCs w:val="24"/>
        </w:rPr>
        <w:t xml:space="preserve">parks, </w:t>
      </w:r>
      <w:r w:rsidR="0085050B" w:rsidRPr="00484006">
        <w:rPr>
          <w:rFonts w:ascii="Times New Roman" w:hAnsi="Times New Roman" w:cs="Times New Roman"/>
          <w:sz w:val="24"/>
          <w:szCs w:val="24"/>
        </w:rPr>
        <w:t>communication systems, and the like. This infrastructure is literally the foundation upon which our society, our culture, and our polity rest. It is no exaggeration to say that without this infrastructure, our</w:t>
      </w:r>
      <w:r>
        <w:rPr>
          <w:rFonts w:ascii="Times New Roman" w:hAnsi="Times New Roman" w:cs="Times New Roman"/>
          <w:sz w:val="24"/>
          <w:szCs w:val="24"/>
        </w:rPr>
        <w:t xml:space="preserve"> society</w:t>
      </w:r>
      <w:r w:rsidR="0085050B" w:rsidRPr="00484006">
        <w:rPr>
          <w:rFonts w:ascii="Times New Roman" w:hAnsi="Times New Roman" w:cs="Times New Roman"/>
          <w:sz w:val="24"/>
          <w:szCs w:val="24"/>
        </w:rPr>
        <w:t xml:space="preserve">, the very </w:t>
      </w:r>
      <w:r>
        <w:rPr>
          <w:rFonts w:ascii="Times New Roman" w:hAnsi="Times New Roman" w:cs="Times New Roman"/>
          <w:sz w:val="24"/>
          <w:szCs w:val="24"/>
        </w:rPr>
        <w:t>society</w:t>
      </w:r>
      <w:r w:rsidR="0085050B" w:rsidRPr="00484006">
        <w:rPr>
          <w:rFonts w:ascii="Times New Roman" w:hAnsi="Times New Roman" w:cs="Times New Roman"/>
          <w:sz w:val="24"/>
          <w:szCs w:val="24"/>
        </w:rPr>
        <w:t xml:space="preserve"> that nurtures those qualities through which we experience ourselves as free individuals capable of making choices among alternatives and defining for ourselves our wants, needs, and values, would not exist. Each of us as a member of </w:t>
      </w:r>
      <w:r>
        <w:rPr>
          <w:rFonts w:ascii="Times New Roman" w:hAnsi="Times New Roman" w:cs="Times New Roman"/>
          <w:sz w:val="24"/>
          <w:szCs w:val="24"/>
        </w:rPr>
        <w:t>a particular</w:t>
      </w:r>
      <w:r w:rsidR="0085050B" w:rsidRPr="00484006">
        <w:rPr>
          <w:rFonts w:ascii="Times New Roman" w:hAnsi="Times New Roman" w:cs="Times New Roman"/>
          <w:sz w:val="24"/>
          <w:szCs w:val="24"/>
        </w:rPr>
        <w:t xml:space="preserve"> political community, then, depends upon the continued effectiveness of this infrastructure, and that dependence requires that we bear some responsibility for maintaining it.</w:t>
      </w:r>
      <w:r>
        <w:rPr>
          <w:rFonts w:ascii="Times New Roman" w:hAnsi="Times New Roman" w:cs="Times New Roman"/>
          <w:sz w:val="24"/>
          <w:szCs w:val="24"/>
        </w:rPr>
        <w:t xml:space="preserve"> That is the purpose of and justification for expropriation.</w:t>
      </w:r>
    </w:p>
    <w:p w:rsidR="00A61362" w:rsidRDefault="00A61362" w:rsidP="0085050B">
      <w:pPr>
        <w:pStyle w:val="NoSpacing"/>
        <w:rPr>
          <w:rFonts w:ascii="Times New Roman" w:hAnsi="Times New Roman" w:cs="Times New Roman"/>
          <w:sz w:val="24"/>
          <w:szCs w:val="24"/>
        </w:rPr>
      </w:pPr>
    </w:p>
    <w:p w:rsidR="00A61362" w:rsidRDefault="00C47355" w:rsidP="0085050B">
      <w:pPr>
        <w:pStyle w:val="NoSpacing"/>
        <w:rPr>
          <w:rFonts w:ascii="Times New Roman" w:hAnsi="Times New Roman" w:cs="Times New Roman"/>
          <w:sz w:val="24"/>
          <w:szCs w:val="24"/>
        </w:rPr>
      </w:pPr>
      <w:r>
        <w:rPr>
          <w:rFonts w:ascii="Times New Roman" w:hAnsi="Times New Roman" w:cs="Times New Roman"/>
          <w:sz w:val="24"/>
          <w:szCs w:val="24"/>
        </w:rPr>
        <w:tab/>
      </w:r>
      <w:r w:rsidR="00A61362">
        <w:rPr>
          <w:rFonts w:ascii="Times New Roman" w:hAnsi="Times New Roman" w:cs="Times New Roman"/>
          <w:sz w:val="24"/>
          <w:szCs w:val="24"/>
        </w:rPr>
        <w:t xml:space="preserve">The problem now is how to </w:t>
      </w:r>
      <w:r>
        <w:rPr>
          <w:rFonts w:ascii="Times New Roman" w:hAnsi="Times New Roman" w:cs="Times New Roman"/>
          <w:sz w:val="24"/>
          <w:szCs w:val="24"/>
        </w:rPr>
        <w:t xml:space="preserve">resolve this conflict of property values,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between </w:t>
      </w:r>
      <w:proofErr w:type="spellStart"/>
      <w:r>
        <w:rPr>
          <w:rFonts w:ascii="Times New Roman" w:hAnsi="Times New Roman" w:cs="Times New Roman"/>
          <w:sz w:val="24"/>
          <w:szCs w:val="24"/>
        </w:rPr>
        <w:t>Kelo</w:t>
      </w:r>
      <w:proofErr w:type="spellEnd"/>
      <w:r>
        <w:rPr>
          <w:rFonts w:ascii="Times New Roman" w:hAnsi="Times New Roman" w:cs="Times New Roman"/>
          <w:sz w:val="24"/>
          <w:szCs w:val="24"/>
        </w:rPr>
        <w:t xml:space="preserve">, the property owner, and the city and its intended beneficiaries. </w:t>
      </w:r>
      <w:r w:rsidR="00944EE6">
        <w:rPr>
          <w:rFonts w:ascii="Times New Roman" w:hAnsi="Times New Roman" w:cs="Times New Roman"/>
          <w:sz w:val="24"/>
          <w:szCs w:val="24"/>
        </w:rPr>
        <w:t>T</w:t>
      </w:r>
      <w:r w:rsidR="00456AB4">
        <w:rPr>
          <w:rFonts w:ascii="Times New Roman" w:hAnsi="Times New Roman" w:cs="Times New Roman"/>
          <w:sz w:val="24"/>
          <w:szCs w:val="24"/>
        </w:rPr>
        <w:t>he German scaling approach is useful</w:t>
      </w:r>
      <w:r w:rsidR="00944EE6">
        <w:rPr>
          <w:rFonts w:ascii="Times New Roman" w:hAnsi="Times New Roman" w:cs="Times New Roman"/>
          <w:sz w:val="24"/>
          <w:szCs w:val="24"/>
        </w:rPr>
        <w:t xml:space="preserve"> at this point</w:t>
      </w:r>
      <w:r w:rsidR="00456AB4">
        <w:rPr>
          <w:rFonts w:ascii="Times New Roman" w:hAnsi="Times New Roman" w:cs="Times New Roman"/>
          <w:sz w:val="24"/>
          <w:szCs w:val="24"/>
        </w:rPr>
        <w:t xml:space="preserve">. As we previously discussed, </w:t>
      </w:r>
      <w:r w:rsidR="001A0025">
        <w:rPr>
          <w:rFonts w:ascii="Times New Roman" w:hAnsi="Times New Roman" w:cs="Times New Roman"/>
          <w:sz w:val="24"/>
          <w:szCs w:val="24"/>
        </w:rPr>
        <w:t>in applying the social obligation term t</w:t>
      </w:r>
      <w:r w:rsidR="001A0025" w:rsidRPr="001A0025">
        <w:rPr>
          <w:rFonts w:ascii="Times New Roman" w:hAnsi="Times New Roman" w:cs="Times New Roman"/>
          <w:sz w:val="24"/>
          <w:szCs w:val="24"/>
        </w:rPr>
        <w:t xml:space="preserve">he </w:t>
      </w:r>
      <w:r w:rsidR="001A0025">
        <w:rPr>
          <w:rFonts w:ascii="Times New Roman" w:hAnsi="Times New Roman" w:cs="Times New Roman"/>
          <w:sz w:val="24"/>
          <w:szCs w:val="24"/>
        </w:rPr>
        <w:t>Constitutional C</w:t>
      </w:r>
      <w:r w:rsidR="001A0025" w:rsidRPr="001A0025">
        <w:rPr>
          <w:rFonts w:ascii="Times New Roman" w:hAnsi="Times New Roman" w:cs="Times New Roman"/>
          <w:sz w:val="24"/>
          <w:szCs w:val="24"/>
        </w:rPr>
        <w:t>ourt scales, or grades, the social-obligation norm</w:t>
      </w:r>
      <w:r w:rsidR="001A0025" w:rsidRPr="001A0025">
        <w:rPr>
          <w:rFonts w:ascii="Times New Roman" w:hAnsi="Times New Roman" w:cs="Times New Roman"/>
          <w:sz w:val="24"/>
          <w:szCs w:val="24"/>
        </w:rPr>
        <w:sym w:font="WP TypographicSymbols" w:char="003D"/>
      </w:r>
      <w:r w:rsidR="001A0025" w:rsidRPr="001A0025">
        <w:rPr>
          <w:rFonts w:ascii="Times New Roman" w:hAnsi="Times New Roman" w:cs="Times New Roman"/>
          <w:sz w:val="24"/>
          <w:szCs w:val="24"/>
        </w:rPr>
        <w:t>s limitation on property according to its relation to the individual owner.</w:t>
      </w:r>
      <w:r w:rsidR="00C20471">
        <w:rPr>
          <w:rFonts w:ascii="Times New Roman" w:hAnsi="Times New Roman" w:cs="Times New Roman"/>
          <w:sz w:val="24"/>
          <w:szCs w:val="24"/>
        </w:rPr>
        <w:t xml:space="preserve"> </w:t>
      </w:r>
      <w:r w:rsidR="003F6C38">
        <w:rPr>
          <w:rFonts w:ascii="Times New Roman" w:hAnsi="Times New Roman" w:cs="Times New Roman"/>
          <w:sz w:val="24"/>
          <w:szCs w:val="24"/>
        </w:rPr>
        <w:t>T</w:t>
      </w:r>
      <w:r w:rsidR="003F6C38" w:rsidRPr="003F6C38">
        <w:rPr>
          <w:rFonts w:ascii="Times New Roman" w:hAnsi="Times New Roman" w:cs="Times New Roman"/>
          <w:sz w:val="24"/>
          <w:szCs w:val="24"/>
        </w:rPr>
        <w:t xml:space="preserve">he closer the specific property </w:t>
      </w:r>
      <w:r w:rsidR="003F6C38">
        <w:rPr>
          <w:rFonts w:ascii="Times New Roman" w:hAnsi="Times New Roman" w:cs="Times New Roman"/>
          <w:sz w:val="24"/>
          <w:szCs w:val="24"/>
        </w:rPr>
        <w:t>interest</w:t>
      </w:r>
      <w:r w:rsidR="003F6C38" w:rsidRPr="003F6C38">
        <w:rPr>
          <w:rFonts w:ascii="Times New Roman" w:hAnsi="Times New Roman" w:cs="Times New Roman"/>
          <w:sz w:val="24"/>
          <w:szCs w:val="24"/>
        </w:rPr>
        <w:t xml:space="preserve"> is involved in prov</w:t>
      </w:r>
      <w:r w:rsidR="003F6C38">
        <w:rPr>
          <w:rFonts w:ascii="Times New Roman" w:hAnsi="Times New Roman" w:cs="Times New Roman"/>
          <w:sz w:val="24"/>
          <w:szCs w:val="24"/>
        </w:rPr>
        <w:t>iding security and autonomy</w:t>
      </w:r>
      <w:r w:rsidR="003F6C38" w:rsidRPr="003F6C38">
        <w:rPr>
          <w:rFonts w:ascii="Times New Roman" w:hAnsi="Times New Roman" w:cs="Times New Roman"/>
          <w:sz w:val="24"/>
          <w:szCs w:val="24"/>
        </w:rPr>
        <w:t xml:space="preserve"> of its holder, the </w:t>
      </w:r>
      <w:r w:rsidR="003F6C38">
        <w:rPr>
          <w:rFonts w:ascii="Times New Roman" w:hAnsi="Times New Roman" w:cs="Times New Roman"/>
          <w:sz w:val="24"/>
          <w:szCs w:val="24"/>
        </w:rPr>
        <w:t>greater the degree of constitutional protection the interest is given.</w:t>
      </w:r>
      <w:r w:rsidR="003F6C38">
        <w:rPr>
          <w:rStyle w:val="FootnoteReference"/>
          <w:rFonts w:ascii="Times New Roman" w:hAnsi="Times New Roman" w:cs="Times New Roman"/>
          <w:sz w:val="24"/>
          <w:szCs w:val="24"/>
        </w:rPr>
        <w:footnoteReference w:id="62"/>
      </w:r>
      <w:r w:rsidR="003F6C38">
        <w:rPr>
          <w:rFonts w:ascii="Times New Roman" w:hAnsi="Times New Roman" w:cs="Times New Roman"/>
          <w:sz w:val="24"/>
          <w:szCs w:val="24"/>
        </w:rPr>
        <w:t xml:space="preserve"> </w:t>
      </w:r>
      <w:r w:rsidR="00C92738" w:rsidRPr="00C92738">
        <w:rPr>
          <w:rFonts w:ascii="Times New Roman" w:hAnsi="Times New Roman" w:cs="Times New Roman"/>
          <w:sz w:val="24"/>
          <w:szCs w:val="24"/>
        </w:rPr>
        <w:t xml:space="preserve">So, for example, the interest of a landlord who does not personally reside on the premises is given lesser weight than that of her tenant, whose opportunity to remain in possession is considered essential to </w:t>
      </w:r>
      <w:r w:rsidR="005A39A4">
        <w:rPr>
          <w:rFonts w:ascii="Times New Roman" w:hAnsi="Times New Roman" w:cs="Times New Roman"/>
          <w:sz w:val="24"/>
          <w:szCs w:val="24"/>
        </w:rPr>
        <w:t>personal security, autonomy,</w:t>
      </w:r>
      <w:r w:rsidR="00C92738" w:rsidRPr="00C92738">
        <w:rPr>
          <w:rFonts w:ascii="Times New Roman" w:hAnsi="Times New Roman" w:cs="Times New Roman"/>
          <w:sz w:val="24"/>
          <w:szCs w:val="24"/>
        </w:rPr>
        <w:t xml:space="preserve"> and self-governance values.</w:t>
      </w:r>
      <w:r w:rsidR="00762ED3">
        <w:rPr>
          <w:rStyle w:val="FootnoteReference"/>
          <w:rFonts w:ascii="Times New Roman" w:hAnsi="Times New Roman" w:cs="Times New Roman"/>
          <w:sz w:val="24"/>
          <w:szCs w:val="24"/>
        </w:rPr>
        <w:footnoteReference w:id="63"/>
      </w:r>
      <w:r w:rsidR="00C92738">
        <w:t xml:space="preserve">  </w:t>
      </w:r>
      <w:r w:rsidR="007B2898" w:rsidRPr="007B2898">
        <w:rPr>
          <w:rFonts w:ascii="Times New Roman" w:hAnsi="Times New Roman" w:cs="Times New Roman"/>
          <w:sz w:val="24"/>
          <w:szCs w:val="24"/>
        </w:rPr>
        <w:t xml:space="preserve">The home, the Court </w:t>
      </w:r>
      <w:r w:rsidR="007B2898">
        <w:rPr>
          <w:rFonts w:ascii="Times New Roman" w:hAnsi="Times New Roman" w:cs="Times New Roman"/>
          <w:sz w:val="24"/>
          <w:szCs w:val="24"/>
        </w:rPr>
        <w:t>has said, is critical to the</w:t>
      </w:r>
      <w:r w:rsidR="007B2898" w:rsidRPr="007B2898">
        <w:rPr>
          <w:rFonts w:ascii="Times New Roman" w:hAnsi="Times New Roman" w:cs="Times New Roman"/>
          <w:sz w:val="24"/>
          <w:szCs w:val="24"/>
        </w:rPr>
        <w:t>s</w:t>
      </w:r>
      <w:r w:rsidR="007B2898">
        <w:rPr>
          <w:rFonts w:ascii="Times New Roman" w:hAnsi="Times New Roman" w:cs="Times New Roman"/>
          <w:sz w:val="24"/>
          <w:szCs w:val="24"/>
        </w:rPr>
        <w:t>e</w:t>
      </w:r>
      <w:r w:rsidR="007B2898" w:rsidRPr="007B2898">
        <w:rPr>
          <w:rFonts w:ascii="Times New Roman" w:hAnsi="Times New Roman" w:cs="Times New Roman"/>
          <w:sz w:val="24"/>
          <w:szCs w:val="24"/>
        </w:rPr>
        <w:t xml:space="preserve"> </w:t>
      </w:r>
      <w:r w:rsidR="0005772C">
        <w:rPr>
          <w:rFonts w:ascii="Times New Roman" w:hAnsi="Times New Roman" w:cs="Times New Roman"/>
          <w:sz w:val="24"/>
          <w:szCs w:val="24"/>
        </w:rPr>
        <w:t>end</w:t>
      </w:r>
      <w:r w:rsidR="007B2898">
        <w:rPr>
          <w:rFonts w:ascii="Times New Roman" w:hAnsi="Times New Roman" w:cs="Times New Roman"/>
          <w:sz w:val="24"/>
          <w:szCs w:val="24"/>
        </w:rPr>
        <w:t xml:space="preserve">s. </w:t>
      </w:r>
    </w:p>
    <w:p w:rsidR="000811EA" w:rsidRDefault="000811EA" w:rsidP="0085050B">
      <w:pPr>
        <w:pStyle w:val="NoSpacing"/>
        <w:rPr>
          <w:rFonts w:ascii="Times New Roman" w:hAnsi="Times New Roman" w:cs="Times New Roman"/>
          <w:sz w:val="24"/>
          <w:szCs w:val="24"/>
        </w:rPr>
      </w:pPr>
    </w:p>
    <w:p w:rsidR="00026CC5" w:rsidRDefault="004F664A" w:rsidP="0085050B">
      <w:pPr>
        <w:pStyle w:val="NoSpacing"/>
        <w:rPr>
          <w:rFonts w:ascii="Times New Roman" w:hAnsi="Times New Roman" w:cs="Times New Roman"/>
          <w:sz w:val="24"/>
          <w:szCs w:val="24"/>
        </w:rPr>
      </w:pPr>
      <w:r>
        <w:rPr>
          <w:rFonts w:ascii="Times New Roman" w:hAnsi="Times New Roman" w:cs="Times New Roman"/>
          <w:sz w:val="24"/>
          <w:szCs w:val="24"/>
        </w:rPr>
        <w:tab/>
      </w:r>
      <w:r w:rsidR="000811EA">
        <w:rPr>
          <w:rFonts w:ascii="Times New Roman" w:hAnsi="Times New Roman" w:cs="Times New Roman"/>
          <w:sz w:val="24"/>
          <w:szCs w:val="24"/>
        </w:rPr>
        <w:t>By contrast, the city’s planned project did not directly i</w:t>
      </w:r>
      <w:r w:rsidR="0006014E">
        <w:rPr>
          <w:rFonts w:ascii="Times New Roman" w:hAnsi="Times New Roman" w:cs="Times New Roman"/>
          <w:sz w:val="24"/>
          <w:szCs w:val="24"/>
        </w:rPr>
        <w:t xml:space="preserve">mplicate </w:t>
      </w:r>
      <w:r w:rsidR="000811EA">
        <w:rPr>
          <w:rFonts w:ascii="Times New Roman" w:hAnsi="Times New Roman" w:cs="Times New Roman"/>
          <w:sz w:val="24"/>
          <w:szCs w:val="24"/>
        </w:rPr>
        <w:t>property’s core values.</w:t>
      </w:r>
      <w:r w:rsidR="0006014E">
        <w:rPr>
          <w:rFonts w:ascii="Times New Roman" w:hAnsi="Times New Roman" w:cs="Times New Roman"/>
          <w:sz w:val="24"/>
          <w:szCs w:val="24"/>
        </w:rPr>
        <w:t xml:space="preserve"> </w:t>
      </w:r>
      <w:r>
        <w:rPr>
          <w:rFonts w:ascii="Times New Roman" w:hAnsi="Times New Roman" w:cs="Times New Roman"/>
          <w:sz w:val="24"/>
          <w:szCs w:val="24"/>
        </w:rPr>
        <w:t xml:space="preserve">Jobs and taxes are important to society’s well-being, to be sure, </w:t>
      </w:r>
      <w:r w:rsidR="00106630">
        <w:rPr>
          <w:rFonts w:ascii="Times New Roman" w:hAnsi="Times New Roman" w:cs="Times New Roman"/>
          <w:sz w:val="24"/>
          <w:szCs w:val="24"/>
        </w:rPr>
        <w:t xml:space="preserve">but are they sufficient reasons to overcome the strong property values attached to one’s home? The home is not sacrosanct. There are occasions when and reasons why it may and must be sacrificed. In terms of human flourishing the home may and at times must be sacrificed when this is essential for creating and maintaining the requisite background conditions that are necessary for the development of </w:t>
      </w:r>
      <w:r w:rsidR="00F151B9">
        <w:rPr>
          <w:rFonts w:ascii="Times New Roman" w:hAnsi="Times New Roman" w:cs="Times New Roman"/>
          <w:sz w:val="24"/>
          <w:szCs w:val="24"/>
        </w:rPr>
        <w:t>those human capabilities that are constitutive of a flourishing life.</w:t>
      </w:r>
      <w:r w:rsidR="0043113A">
        <w:rPr>
          <w:rFonts w:ascii="Times New Roman" w:hAnsi="Times New Roman" w:cs="Times New Roman"/>
          <w:sz w:val="24"/>
          <w:szCs w:val="24"/>
        </w:rPr>
        <w:t xml:space="preserve"> The intended aims of the New London, Connecticut, project would maintain those conditions only </w:t>
      </w:r>
      <w:r w:rsidR="00E97027">
        <w:rPr>
          <w:rFonts w:ascii="Times New Roman" w:hAnsi="Times New Roman" w:cs="Times New Roman"/>
          <w:sz w:val="24"/>
          <w:szCs w:val="24"/>
        </w:rPr>
        <w:t>indirect</w:t>
      </w:r>
      <w:r w:rsidR="0043113A">
        <w:rPr>
          <w:rFonts w:ascii="Times New Roman" w:hAnsi="Times New Roman" w:cs="Times New Roman"/>
          <w:sz w:val="24"/>
          <w:szCs w:val="24"/>
        </w:rPr>
        <w:t xml:space="preserve">ly by expanding the city’s tax base and creating new jobs, which in turn would generate more taxes. </w:t>
      </w:r>
      <w:r w:rsidR="009407DF">
        <w:rPr>
          <w:rFonts w:ascii="Times New Roman" w:hAnsi="Times New Roman" w:cs="Times New Roman"/>
          <w:sz w:val="24"/>
          <w:szCs w:val="24"/>
        </w:rPr>
        <w:t>Compare a more typical example of</w:t>
      </w:r>
      <w:r w:rsidR="009943A7">
        <w:rPr>
          <w:rFonts w:ascii="Times New Roman" w:hAnsi="Times New Roman" w:cs="Times New Roman"/>
          <w:sz w:val="24"/>
          <w:szCs w:val="24"/>
        </w:rPr>
        <w:t xml:space="preserve"> use of </w:t>
      </w:r>
      <w:r w:rsidR="009407DF">
        <w:rPr>
          <w:rFonts w:ascii="Times New Roman" w:hAnsi="Times New Roman" w:cs="Times New Roman"/>
          <w:sz w:val="24"/>
          <w:szCs w:val="24"/>
        </w:rPr>
        <w:t>the expropriation power ─ an expropriation for purposes of a</w:t>
      </w:r>
      <w:r w:rsidR="00C774A8">
        <w:rPr>
          <w:rFonts w:ascii="Times New Roman" w:hAnsi="Times New Roman" w:cs="Times New Roman"/>
          <w:sz w:val="24"/>
          <w:szCs w:val="24"/>
        </w:rPr>
        <w:t xml:space="preserve"> road</w:t>
      </w:r>
      <w:r w:rsidR="009407DF">
        <w:rPr>
          <w:rFonts w:ascii="Times New Roman" w:hAnsi="Times New Roman" w:cs="Times New Roman"/>
          <w:sz w:val="24"/>
          <w:szCs w:val="24"/>
        </w:rPr>
        <w:t xml:space="preserve">. </w:t>
      </w:r>
      <w:r w:rsidR="00C774A8">
        <w:rPr>
          <w:rFonts w:ascii="Times New Roman" w:hAnsi="Times New Roman" w:cs="Times New Roman"/>
          <w:sz w:val="24"/>
          <w:szCs w:val="24"/>
        </w:rPr>
        <w:t xml:space="preserve">Public projects such as roads are essential components of the background material infrastructure that supports society and its culture. </w:t>
      </w:r>
      <w:r w:rsidR="00042091">
        <w:rPr>
          <w:rFonts w:ascii="Times New Roman" w:hAnsi="Times New Roman" w:cs="Times New Roman"/>
          <w:sz w:val="24"/>
          <w:szCs w:val="24"/>
        </w:rPr>
        <w:t xml:space="preserve">Here the public benefit gained from the expropriation is direct, and it is vital to enabling the capabilities that are necessary for a well-lived life. </w:t>
      </w:r>
      <w:r w:rsidR="002C3886">
        <w:rPr>
          <w:rFonts w:ascii="Times New Roman" w:hAnsi="Times New Roman" w:cs="Times New Roman"/>
          <w:sz w:val="24"/>
          <w:szCs w:val="24"/>
        </w:rPr>
        <w:t>A project of this sort</w:t>
      </w:r>
      <w:r w:rsidR="002C3886">
        <w:rPr>
          <w:rStyle w:val="FootnoteReference"/>
          <w:rFonts w:ascii="Times New Roman" w:hAnsi="Times New Roman" w:cs="Times New Roman"/>
          <w:sz w:val="24"/>
          <w:szCs w:val="24"/>
        </w:rPr>
        <w:footnoteReference w:id="64"/>
      </w:r>
      <w:r w:rsidR="002C3886">
        <w:rPr>
          <w:rFonts w:ascii="Times New Roman" w:hAnsi="Times New Roman" w:cs="Times New Roman"/>
          <w:sz w:val="24"/>
          <w:szCs w:val="24"/>
        </w:rPr>
        <w:t xml:space="preserve"> may require that even a personal residence, a home, be sacrificed, </w:t>
      </w:r>
      <w:proofErr w:type="gramStart"/>
      <w:r w:rsidR="002C3886">
        <w:rPr>
          <w:rFonts w:ascii="Times New Roman" w:hAnsi="Times New Roman" w:cs="Times New Roman"/>
          <w:sz w:val="24"/>
          <w:szCs w:val="24"/>
        </w:rPr>
        <w:t>despite</w:t>
      </w:r>
      <w:proofErr w:type="gramEnd"/>
      <w:r w:rsidR="002C3886">
        <w:rPr>
          <w:rFonts w:ascii="Times New Roman" w:hAnsi="Times New Roman" w:cs="Times New Roman"/>
          <w:sz w:val="24"/>
          <w:szCs w:val="24"/>
        </w:rPr>
        <w:t xml:space="preserve"> the great importance attached to that interest’s values. </w:t>
      </w:r>
    </w:p>
    <w:p w:rsidR="00026CC5" w:rsidRDefault="00026CC5" w:rsidP="0085050B">
      <w:pPr>
        <w:pStyle w:val="NoSpacing"/>
        <w:rPr>
          <w:rFonts w:ascii="Times New Roman" w:hAnsi="Times New Roman" w:cs="Times New Roman"/>
          <w:sz w:val="24"/>
          <w:szCs w:val="24"/>
        </w:rPr>
      </w:pPr>
    </w:p>
    <w:p w:rsidR="000811EA" w:rsidRDefault="00026CC5" w:rsidP="0085050B">
      <w:pPr>
        <w:pStyle w:val="NoSpacing"/>
        <w:rPr>
          <w:rFonts w:ascii="Times New Roman" w:hAnsi="Times New Roman" w:cs="Times New Roman"/>
          <w:sz w:val="24"/>
          <w:szCs w:val="24"/>
        </w:rPr>
      </w:pPr>
      <w:r>
        <w:rPr>
          <w:rFonts w:ascii="Times New Roman" w:hAnsi="Times New Roman" w:cs="Times New Roman"/>
          <w:sz w:val="24"/>
          <w:szCs w:val="24"/>
        </w:rPr>
        <w:lastRenderedPageBreak/>
        <w:tab/>
      </w:r>
      <w:r w:rsidR="002C3886">
        <w:rPr>
          <w:rFonts w:ascii="Times New Roman" w:hAnsi="Times New Roman" w:cs="Times New Roman"/>
          <w:sz w:val="24"/>
          <w:szCs w:val="24"/>
        </w:rPr>
        <w:t>In situations where there are two competing property interests each supported by strong prope</w:t>
      </w:r>
      <w:r w:rsidR="00483D3C">
        <w:rPr>
          <w:rFonts w:ascii="Times New Roman" w:hAnsi="Times New Roman" w:cs="Times New Roman"/>
          <w:sz w:val="24"/>
          <w:szCs w:val="24"/>
        </w:rPr>
        <w:t xml:space="preserve">rty values, it is useful again to follow the lead of the German </w:t>
      </w:r>
      <w:r w:rsidR="00357768">
        <w:rPr>
          <w:rFonts w:ascii="Times New Roman" w:hAnsi="Times New Roman" w:cs="Times New Roman"/>
          <w:sz w:val="24"/>
          <w:szCs w:val="24"/>
        </w:rPr>
        <w:t>c</w:t>
      </w:r>
      <w:r w:rsidR="00483D3C">
        <w:rPr>
          <w:rFonts w:ascii="Times New Roman" w:hAnsi="Times New Roman" w:cs="Times New Roman"/>
          <w:sz w:val="24"/>
          <w:szCs w:val="24"/>
        </w:rPr>
        <w:t>ourt</w:t>
      </w:r>
      <w:r w:rsidR="00357768">
        <w:rPr>
          <w:rFonts w:ascii="Times New Roman" w:hAnsi="Times New Roman" w:cs="Times New Roman"/>
          <w:sz w:val="24"/>
          <w:szCs w:val="24"/>
        </w:rPr>
        <w:t>s</w:t>
      </w:r>
      <w:r>
        <w:rPr>
          <w:rFonts w:ascii="Times New Roman" w:hAnsi="Times New Roman" w:cs="Times New Roman"/>
          <w:sz w:val="24"/>
          <w:szCs w:val="24"/>
        </w:rPr>
        <w:t xml:space="preserve">. </w:t>
      </w:r>
      <w:r w:rsidR="00B60ADA">
        <w:rPr>
          <w:rFonts w:ascii="Times New Roman" w:hAnsi="Times New Roman" w:cs="Times New Roman"/>
          <w:sz w:val="24"/>
          <w:szCs w:val="24"/>
        </w:rPr>
        <w:t>In applying the public-interest requirement the German courts have said that the requirement means that expropriation is the only possible means of meeting a particular public need. Moreover, the proportionality principle requires that expropriation must be strictly necessary to accomplish that need.</w:t>
      </w:r>
      <w:r w:rsidR="00843BE3">
        <w:rPr>
          <w:rStyle w:val="FootnoteReference"/>
          <w:rFonts w:ascii="Times New Roman" w:hAnsi="Times New Roman" w:cs="Times New Roman"/>
          <w:sz w:val="24"/>
          <w:szCs w:val="24"/>
        </w:rPr>
        <w:footnoteReference w:id="65"/>
      </w:r>
      <w:r w:rsidR="0092375C">
        <w:rPr>
          <w:rFonts w:ascii="Times New Roman" w:hAnsi="Times New Roman" w:cs="Times New Roman"/>
          <w:sz w:val="24"/>
          <w:szCs w:val="24"/>
        </w:rPr>
        <w:t xml:space="preserve"> </w:t>
      </w:r>
      <w:r w:rsidR="00E94CA4">
        <w:rPr>
          <w:rFonts w:ascii="Times New Roman" w:hAnsi="Times New Roman" w:cs="Times New Roman"/>
          <w:sz w:val="24"/>
          <w:szCs w:val="24"/>
        </w:rPr>
        <w:t xml:space="preserve">This less-invasive-means test might be used to resolve cases the property interests on both sides involve strong property values, particularly values associated with the personal residence. Sacrifice of the personal residence would then be required only no other means of achieving the public goal is available. </w:t>
      </w:r>
      <w:r w:rsidR="00396CC6">
        <w:rPr>
          <w:rFonts w:ascii="Times New Roman" w:hAnsi="Times New Roman" w:cs="Times New Roman"/>
          <w:sz w:val="24"/>
          <w:szCs w:val="24"/>
        </w:rPr>
        <w:t>That will be true in cases of expropriation for public projects like roads</w:t>
      </w:r>
      <w:r w:rsidR="0089358E">
        <w:rPr>
          <w:rFonts w:ascii="Times New Roman" w:hAnsi="Times New Roman" w:cs="Times New Roman"/>
          <w:sz w:val="24"/>
          <w:szCs w:val="24"/>
        </w:rPr>
        <w:t xml:space="preserve"> and</w:t>
      </w:r>
      <w:r w:rsidR="00396CC6">
        <w:rPr>
          <w:rFonts w:ascii="Times New Roman" w:hAnsi="Times New Roman" w:cs="Times New Roman"/>
          <w:sz w:val="24"/>
          <w:szCs w:val="24"/>
        </w:rPr>
        <w:t xml:space="preserve"> airports</w:t>
      </w:r>
      <w:r w:rsidR="0089358E">
        <w:rPr>
          <w:rFonts w:ascii="Times New Roman" w:hAnsi="Times New Roman" w:cs="Times New Roman"/>
          <w:sz w:val="24"/>
          <w:szCs w:val="24"/>
        </w:rPr>
        <w:t xml:space="preserve">. Projects such as these are not only essential they are site-specific, meaning that there is usually no readily available alternative location for them. This is why such projects nearly always satisfy the least-restrictive-alternative test. </w:t>
      </w:r>
    </w:p>
    <w:p w:rsidR="0089358E" w:rsidRDefault="0089358E" w:rsidP="0085050B">
      <w:pPr>
        <w:pStyle w:val="NoSpacing"/>
        <w:rPr>
          <w:rFonts w:ascii="Times New Roman" w:hAnsi="Times New Roman" w:cs="Times New Roman"/>
          <w:sz w:val="24"/>
          <w:szCs w:val="24"/>
        </w:rPr>
      </w:pPr>
    </w:p>
    <w:p w:rsidR="0089358E" w:rsidRDefault="005877CA" w:rsidP="0085050B">
      <w:pPr>
        <w:pStyle w:val="NoSpacing"/>
        <w:rPr>
          <w:rFonts w:ascii="Times New Roman" w:hAnsi="Times New Roman" w:cs="Times New Roman"/>
          <w:sz w:val="24"/>
          <w:szCs w:val="24"/>
        </w:rPr>
      </w:pPr>
      <w:r>
        <w:rPr>
          <w:rFonts w:ascii="Times New Roman" w:hAnsi="Times New Roman" w:cs="Times New Roman"/>
          <w:sz w:val="24"/>
          <w:szCs w:val="24"/>
        </w:rPr>
        <w:tab/>
      </w:r>
      <w:r w:rsidR="0089358E">
        <w:rPr>
          <w:rFonts w:ascii="Times New Roman" w:hAnsi="Times New Roman" w:cs="Times New Roman"/>
          <w:sz w:val="24"/>
          <w:szCs w:val="24"/>
        </w:rPr>
        <w:t xml:space="preserve">Can the same be said of the development project in </w:t>
      </w:r>
      <w:proofErr w:type="spellStart"/>
      <w:r w:rsidR="0089358E" w:rsidRPr="0089358E">
        <w:rPr>
          <w:rFonts w:ascii="Times New Roman" w:hAnsi="Times New Roman" w:cs="Times New Roman"/>
          <w:i/>
          <w:sz w:val="24"/>
          <w:szCs w:val="24"/>
        </w:rPr>
        <w:t>Kelo</w:t>
      </w:r>
      <w:proofErr w:type="spellEnd"/>
      <w:r w:rsidR="0089358E">
        <w:rPr>
          <w:rFonts w:ascii="Times New Roman" w:hAnsi="Times New Roman" w:cs="Times New Roman"/>
          <w:sz w:val="24"/>
          <w:szCs w:val="24"/>
        </w:rPr>
        <w:t xml:space="preserve">? </w:t>
      </w:r>
      <w:r>
        <w:rPr>
          <w:rFonts w:ascii="Times New Roman" w:hAnsi="Times New Roman" w:cs="Times New Roman"/>
          <w:sz w:val="24"/>
          <w:szCs w:val="24"/>
        </w:rPr>
        <w:t>Assuming for the sake of argument that the project was the only means by which the city could increase taxes and create more jobs,</w:t>
      </w:r>
      <w:r w:rsidR="0033286B">
        <w:rPr>
          <w:rFonts w:ascii="Times New Roman" w:hAnsi="Times New Roman" w:cs="Times New Roman"/>
          <w:sz w:val="24"/>
          <w:szCs w:val="24"/>
        </w:rPr>
        <w:t xml:space="preserve"> it is not clear that the project required the exercise of the expropriation power. </w:t>
      </w:r>
      <w:r w:rsidR="00F474EC">
        <w:rPr>
          <w:rFonts w:ascii="Times New Roman" w:hAnsi="Times New Roman" w:cs="Times New Roman"/>
          <w:sz w:val="24"/>
          <w:szCs w:val="24"/>
        </w:rPr>
        <w:t>The development area was 90 acres in size, comprised of 115 parcels.</w:t>
      </w:r>
      <w:r w:rsidR="00F474EC">
        <w:rPr>
          <w:rStyle w:val="FootnoteReference"/>
          <w:rFonts w:ascii="Times New Roman" w:hAnsi="Times New Roman" w:cs="Times New Roman"/>
          <w:sz w:val="24"/>
          <w:szCs w:val="24"/>
        </w:rPr>
        <w:footnoteReference w:id="66"/>
      </w:r>
      <w:r w:rsidR="00F474EC">
        <w:rPr>
          <w:rFonts w:ascii="Times New Roman" w:hAnsi="Times New Roman" w:cs="Times New Roman"/>
          <w:sz w:val="24"/>
          <w:szCs w:val="24"/>
        </w:rPr>
        <w:t xml:space="preserve"> </w:t>
      </w:r>
      <w:r w:rsidR="00395FD7">
        <w:rPr>
          <w:rFonts w:ascii="Times New Roman" w:hAnsi="Times New Roman" w:cs="Times New Roman"/>
          <w:sz w:val="24"/>
          <w:szCs w:val="24"/>
        </w:rPr>
        <w:t>The planners originally had prepared six alternative plans for the project.</w:t>
      </w:r>
      <w:r w:rsidR="00395FD7">
        <w:rPr>
          <w:rStyle w:val="FootnoteReference"/>
          <w:rFonts w:ascii="Times New Roman" w:hAnsi="Times New Roman" w:cs="Times New Roman"/>
          <w:sz w:val="24"/>
          <w:szCs w:val="24"/>
        </w:rPr>
        <w:footnoteReference w:id="67"/>
      </w:r>
      <w:r w:rsidR="00395FD7">
        <w:rPr>
          <w:rFonts w:ascii="Times New Roman" w:hAnsi="Times New Roman" w:cs="Times New Roman"/>
          <w:sz w:val="24"/>
          <w:szCs w:val="24"/>
        </w:rPr>
        <w:t xml:space="preserve"> </w:t>
      </w:r>
      <w:r w:rsidR="00065A64">
        <w:rPr>
          <w:rFonts w:ascii="Times New Roman" w:hAnsi="Times New Roman" w:cs="Times New Roman"/>
          <w:sz w:val="24"/>
          <w:szCs w:val="24"/>
        </w:rPr>
        <w:t xml:space="preserve">The </w:t>
      </w:r>
      <w:r w:rsidR="00395FD7">
        <w:rPr>
          <w:rFonts w:ascii="Times New Roman" w:hAnsi="Times New Roman" w:cs="Times New Roman"/>
          <w:sz w:val="24"/>
          <w:szCs w:val="24"/>
        </w:rPr>
        <w:t xml:space="preserve">final </w:t>
      </w:r>
      <w:r w:rsidR="00065A64">
        <w:rPr>
          <w:rFonts w:ascii="Times New Roman" w:hAnsi="Times New Roman" w:cs="Times New Roman"/>
          <w:sz w:val="24"/>
          <w:szCs w:val="24"/>
        </w:rPr>
        <w:t>development plan divided the total area into seven parcels, each having a different use purpose (residential, retail store, hotel, etc.)</w:t>
      </w:r>
      <w:r w:rsidR="00A64B42">
        <w:rPr>
          <w:rFonts w:ascii="Times New Roman" w:hAnsi="Times New Roman" w:cs="Times New Roman"/>
          <w:sz w:val="24"/>
          <w:szCs w:val="24"/>
        </w:rPr>
        <w:t>.</w:t>
      </w:r>
      <w:r w:rsidR="00065A64">
        <w:rPr>
          <w:rFonts w:ascii="Times New Roman" w:hAnsi="Times New Roman" w:cs="Times New Roman"/>
          <w:sz w:val="24"/>
          <w:szCs w:val="24"/>
        </w:rPr>
        <w:t xml:space="preserve"> </w:t>
      </w:r>
      <w:r w:rsidR="00EA5666">
        <w:rPr>
          <w:rFonts w:ascii="Times New Roman" w:hAnsi="Times New Roman" w:cs="Times New Roman"/>
          <w:sz w:val="24"/>
          <w:szCs w:val="24"/>
        </w:rPr>
        <w:t>Pfizer, the large pharmaceutical firm that was the driving force behind the development project, had never made any demands regarding the location of any of the particular uses within the development plan.</w:t>
      </w:r>
      <w:r w:rsidR="00EA5666">
        <w:rPr>
          <w:rStyle w:val="FootnoteReference"/>
          <w:rFonts w:ascii="Times New Roman" w:hAnsi="Times New Roman" w:cs="Times New Roman"/>
          <w:sz w:val="24"/>
          <w:szCs w:val="24"/>
        </w:rPr>
        <w:footnoteReference w:id="68"/>
      </w:r>
      <w:r w:rsidR="00F6175B">
        <w:rPr>
          <w:rFonts w:ascii="Times New Roman" w:hAnsi="Times New Roman" w:cs="Times New Roman"/>
          <w:sz w:val="24"/>
          <w:szCs w:val="24"/>
        </w:rPr>
        <w:t xml:space="preserve"> The trial court found that </w:t>
      </w:r>
      <w:r w:rsidR="00A64B42">
        <w:rPr>
          <w:rFonts w:ascii="Times New Roman" w:hAnsi="Times New Roman" w:cs="Times New Roman"/>
          <w:sz w:val="24"/>
          <w:szCs w:val="24"/>
        </w:rPr>
        <w:t>one of the seven parcels was</w:t>
      </w:r>
      <w:r w:rsidR="00F6175B">
        <w:rPr>
          <w:rFonts w:ascii="Times New Roman" w:hAnsi="Times New Roman" w:cs="Times New Roman"/>
          <w:sz w:val="24"/>
          <w:szCs w:val="24"/>
        </w:rPr>
        <w:t xml:space="preserve"> not essential to the project.</w:t>
      </w:r>
      <w:r w:rsidR="00A64B42">
        <w:rPr>
          <w:rStyle w:val="FootnoteReference"/>
          <w:rFonts w:ascii="Times New Roman" w:hAnsi="Times New Roman" w:cs="Times New Roman"/>
          <w:sz w:val="24"/>
          <w:szCs w:val="24"/>
        </w:rPr>
        <w:footnoteReference w:id="69"/>
      </w:r>
      <w:r w:rsidR="00F6175B">
        <w:rPr>
          <w:rFonts w:ascii="Times New Roman" w:hAnsi="Times New Roman" w:cs="Times New Roman"/>
          <w:sz w:val="24"/>
          <w:szCs w:val="24"/>
        </w:rPr>
        <w:t xml:space="preserve"> </w:t>
      </w:r>
      <w:r w:rsidR="00A64B42">
        <w:rPr>
          <w:rFonts w:ascii="Times New Roman" w:hAnsi="Times New Roman" w:cs="Times New Roman"/>
          <w:sz w:val="24"/>
          <w:szCs w:val="24"/>
        </w:rPr>
        <w:t>At least one of the expert witnesses testified that the disputed expropriations were not necessary to the project’s success, and some of the alternative plans would have permitted the petitioners’ homes to remain undisturbed.</w:t>
      </w:r>
      <w:r w:rsidR="00A64B42">
        <w:rPr>
          <w:rStyle w:val="FootnoteReference"/>
          <w:rFonts w:ascii="Times New Roman" w:hAnsi="Times New Roman" w:cs="Times New Roman"/>
          <w:sz w:val="24"/>
          <w:szCs w:val="24"/>
        </w:rPr>
        <w:footnoteReference w:id="70"/>
      </w:r>
      <w:r w:rsidR="00A64B42">
        <w:rPr>
          <w:rFonts w:ascii="Times New Roman" w:hAnsi="Times New Roman" w:cs="Times New Roman"/>
          <w:sz w:val="24"/>
          <w:szCs w:val="24"/>
        </w:rPr>
        <w:t xml:space="preserve"> </w:t>
      </w:r>
      <w:r w:rsidR="000A7057">
        <w:rPr>
          <w:rFonts w:ascii="Times New Roman" w:hAnsi="Times New Roman" w:cs="Times New Roman"/>
          <w:sz w:val="24"/>
          <w:szCs w:val="24"/>
        </w:rPr>
        <w:t xml:space="preserve">Given this evidence, there is reason to doubt that the least-restrictive-alternative test would have been met in </w:t>
      </w:r>
      <w:proofErr w:type="spellStart"/>
      <w:r w:rsidR="000A7057" w:rsidRPr="000A7057">
        <w:rPr>
          <w:rFonts w:ascii="Times New Roman" w:hAnsi="Times New Roman" w:cs="Times New Roman"/>
          <w:i/>
          <w:sz w:val="24"/>
          <w:szCs w:val="24"/>
        </w:rPr>
        <w:t>Kelo</w:t>
      </w:r>
      <w:proofErr w:type="spellEnd"/>
      <w:r w:rsidR="000A7057">
        <w:rPr>
          <w:rFonts w:ascii="Times New Roman" w:hAnsi="Times New Roman" w:cs="Times New Roman"/>
          <w:sz w:val="24"/>
          <w:szCs w:val="24"/>
        </w:rPr>
        <w:t xml:space="preserve">. </w:t>
      </w:r>
    </w:p>
    <w:p w:rsidR="000F7822" w:rsidRDefault="000F7822" w:rsidP="0085050B">
      <w:pPr>
        <w:pStyle w:val="NoSpacing"/>
        <w:rPr>
          <w:rFonts w:ascii="Times New Roman" w:hAnsi="Times New Roman" w:cs="Times New Roman"/>
          <w:sz w:val="24"/>
          <w:szCs w:val="24"/>
        </w:rPr>
      </w:pPr>
    </w:p>
    <w:p w:rsidR="000F7822" w:rsidRDefault="000F7822" w:rsidP="0085050B">
      <w:pPr>
        <w:pStyle w:val="NoSpacing"/>
        <w:rPr>
          <w:rFonts w:ascii="Times New Roman" w:hAnsi="Times New Roman" w:cs="Times New Roman"/>
          <w:sz w:val="24"/>
          <w:szCs w:val="24"/>
        </w:rPr>
      </w:pPr>
      <w:r>
        <w:rPr>
          <w:rFonts w:ascii="Times New Roman" w:hAnsi="Times New Roman" w:cs="Times New Roman"/>
          <w:sz w:val="24"/>
          <w:szCs w:val="24"/>
        </w:rPr>
        <w:tab/>
        <w:t xml:space="preserve">This is not to say that attempted expropriations of a home would never succeed under this approach. Suppose that the home in question is a second home, a vacation home where the owner lives only for limited periods of time each year. </w:t>
      </w:r>
      <w:r w:rsidR="000B145F">
        <w:rPr>
          <w:rFonts w:ascii="Times New Roman" w:hAnsi="Times New Roman" w:cs="Times New Roman"/>
          <w:sz w:val="24"/>
          <w:szCs w:val="24"/>
        </w:rPr>
        <w:t>Under these circumstances the values associated with the primary residence are not in jeopardy to nearly the same extent as they are where the owner’s sole or main abode is threatened, and so they do not weigh as strongly in the calculus of human flourishing</w:t>
      </w:r>
      <w:r w:rsidR="000618BC">
        <w:rPr>
          <w:rFonts w:ascii="Times New Roman" w:hAnsi="Times New Roman" w:cs="Times New Roman"/>
          <w:sz w:val="24"/>
          <w:szCs w:val="24"/>
        </w:rPr>
        <w:t xml:space="preserve"> and attendant capabilities</w:t>
      </w:r>
      <w:r w:rsidR="000B145F">
        <w:rPr>
          <w:rFonts w:ascii="Times New Roman" w:hAnsi="Times New Roman" w:cs="Times New Roman"/>
          <w:sz w:val="24"/>
          <w:szCs w:val="24"/>
        </w:rPr>
        <w:t xml:space="preserve">. </w:t>
      </w:r>
      <w:r w:rsidR="00935ABA">
        <w:rPr>
          <w:rFonts w:ascii="Times New Roman" w:hAnsi="Times New Roman" w:cs="Times New Roman"/>
          <w:sz w:val="24"/>
          <w:szCs w:val="24"/>
        </w:rPr>
        <w:t xml:space="preserve">Depending upon the nature of the interest on the other side, it is entirely possible that </w:t>
      </w:r>
      <w:r w:rsidR="00363E53">
        <w:rPr>
          <w:rFonts w:ascii="Times New Roman" w:hAnsi="Times New Roman" w:cs="Times New Roman"/>
          <w:sz w:val="24"/>
          <w:szCs w:val="24"/>
        </w:rPr>
        <w:t xml:space="preserve">the property values associated with that interest will be </w:t>
      </w:r>
      <w:r w:rsidR="00E57256">
        <w:rPr>
          <w:rFonts w:ascii="Times New Roman" w:hAnsi="Times New Roman" w:cs="Times New Roman"/>
          <w:sz w:val="24"/>
          <w:szCs w:val="24"/>
        </w:rPr>
        <w:t xml:space="preserve">sufficiently important to prevail. </w:t>
      </w:r>
    </w:p>
    <w:p w:rsidR="00F65D28" w:rsidRDefault="00F65D28" w:rsidP="0085050B">
      <w:pPr>
        <w:pStyle w:val="NoSpacing"/>
        <w:rPr>
          <w:rFonts w:ascii="Times New Roman" w:hAnsi="Times New Roman" w:cs="Times New Roman"/>
          <w:sz w:val="24"/>
          <w:szCs w:val="24"/>
        </w:rPr>
      </w:pPr>
    </w:p>
    <w:p w:rsidR="00F65D28" w:rsidRPr="00B01141" w:rsidRDefault="00F65D28" w:rsidP="00F65D28">
      <w:pPr>
        <w:pStyle w:val="NoSpacing"/>
        <w:jc w:val="center"/>
        <w:rPr>
          <w:rFonts w:ascii="Times New Roman" w:hAnsi="Times New Roman" w:cs="Times New Roman"/>
          <w:b/>
          <w:smallCaps/>
          <w:sz w:val="24"/>
          <w:szCs w:val="24"/>
        </w:rPr>
      </w:pPr>
      <w:r w:rsidRPr="00B01141">
        <w:rPr>
          <w:rFonts w:ascii="Times New Roman" w:hAnsi="Times New Roman" w:cs="Times New Roman"/>
          <w:b/>
          <w:smallCaps/>
          <w:sz w:val="24"/>
          <w:szCs w:val="24"/>
        </w:rPr>
        <w:t>Conclusion</w:t>
      </w:r>
    </w:p>
    <w:p w:rsidR="00F65D28" w:rsidRDefault="00F65D28" w:rsidP="0085050B">
      <w:pPr>
        <w:pStyle w:val="NoSpacing"/>
        <w:rPr>
          <w:rFonts w:ascii="Times New Roman" w:hAnsi="Times New Roman" w:cs="Times New Roman"/>
          <w:sz w:val="24"/>
          <w:szCs w:val="24"/>
        </w:rPr>
      </w:pPr>
    </w:p>
    <w:p w:rsidR="00F65D28" w:rsidRPr="003F6C38" w:rsidRDefault="00B01141" w:rsidP="0085050B">
      <w:pPr>
        <w:pStyle w:val="NoSpacing"/>
        <w:rPr>
          <w:rFonts w:ascii="Times New Roman" w:hAnsi="Times New Roman" w:cs="Times New Roman"/>
          <w:sz w:val="24"/>
          <w:szCs w:val="24"/>
        </w:rPr>
      </w:pPr>
      <w:r>
        <w:rPr>
          <w:rFonts w:ascii="Times New Roman" w:hAnsi="Times New Roman" w:cs="Times New Roman"/>
          <w:sz w:val="24"/>
          <w:szCs w:val="24"/>
        </w:rPr>
        <w:lastRenderedPageBreak/>
        <w:tab/>
      </w:r>
      <w:r w:rsidR="00F65D28">
        <w:rPr>
          <w:rFonts w:ascii="Times New Roman" w:hAnsi="Times New Roman" w:cs="Times New Roman"/>
          <w:sz w:val="24"/>
          <w:szCs w:val="24"/>
        </w:rPr>
        <w:t xml:space="preserve">The public use requirement need not be the anemic doctrine that currently is in the United States. The </w:t>
      </w:r>
      <w:proofErr w:type="spellStart"/>
      <w:r w:rsidR="00F65D28">
        <w:rPr>
          <w:rFonts w:ascii="Times New Roman" w:hAnsi="Times New Roman" w:cs="Times New Roman"/>
          <w:sz w:val="24"/>
          <w:szCs w:val="24"/>
        </w:rPr>
        <w:t>consequentist</w:t>
      </w:r>
      <w:proofErr w:type="spellEnd"/>
      <w:r w:rsidR="00F65D28">
        <w:rPr>
          <w:rFonts w:ascii="Times New Roman" w:hAnsi="Times New Roman" w:cs="Times New Roman"/>
          <w:sz w:val="24"/>
          <w:szCs w:val="24"/>
        </w:rPr>
        <w:t xml:space="preserve"> mode of reasoning described here, one informed by </w:t>
      </w:r>
      <w:r>
        <w:rPr>
          <w:rFonts w:ascii="Times New Roman" w:hAnsi="Times New Roman" w:cs="Times New Roman"/>
          <w:sz w:val="24"/>
          <w:szCs w:val="24"/>
        </w:rPr>
        <w:t xml:space="preserve">the experiences of courts of other countries, particularly the German Constitutional Court, </w:t>
      </w:r>
      <w:r w:rsidR="007F214B">
        <w:rPr>
          <w:rFonts w:ascii="Times New Roman" w:hAnsi="Times New Roman" w:cs="Times New Roman"/>
          <w:sz w:val="24"/>
          <w:szCs w:val="24"/>
        </w:rPr>
        <w:t xml:space="preserve">permits a more structured and more principled application of that doctrine, one that </w:t>
      </w:r>
      <w:r w:rsidR="00F94C08">
        <w:rPr>
          <w:rFonts w:ascii="Times New Roman" w:hAnsi="Times New Roman" w:cs="Times New Roman"/>
          <w:sz w:val="24"/>
          <w:szCs w:val="24"/>
        </w:rPr>
        <w:t xml:space="preserve">requires the court to attend to underlying property values at stake in the disputed expropriation matter. </w:t>
      </w:r>
      <w:r w:rsidR="00B25B28">
        <w:rPr>
          <w:rFonts w:ascii="Times New Roman" w:hAnsi="Times New Roman" w:cs="Times New Roman"/>
          <w:sz w:val="24"/>
          <w:szCs w:val="24"/>
        </w:rPr>
        <w:t>The ultimate strength of this approach is that it promotes human flourishing, the real foundation of property.</w:t>
      </w:r>
    </w:p>
    <w:p w:rsidR="0085050B" w:rsidRDefault="0085050B" w:rsidP="00E47E1B">
      <w:pPr>
        <w:pStyle w:val="NoSpacing"/>
        <w:rPr>
          <w:rFonts w:ascii="Times New Roman" w:hAnsi="Times New Roman" w:cs="Times New Roman"/>
          <w:iCs/>
          <w:sz w:val="24"/>
          <w:szCs w:val="24"/>
        </w:rPr>
      </w:pPr>
    </w:p>
    <w:p w:rsidR="00F33A2D" w:rsidRDefault="00F33A2D" w:rsidP="00E47E1B">
      <w:pPr>
        <w:pStyle w:val="NoSpacing"/>
        <w:rPr>
          <w:rFonts w:ascii="Times New Roman" w:hAnsi="Times New Roman" w:cs="Times New Roman"/>
          <w:iCs/>
          <w:sz w:val="24"/>
          <w:szCs w:val="24"/>
        </w:rPr>
      </w:pPr>
    </w:p>
    <w:p w:rsidR="001B7210" w:rsidRPr="00A906B1" w:rsidRDefault="00E55894" w:rsidP="00E47E1B">
      <w:pPr>
        <w:pStyle w:val="NoSpacing"/>
        <w:rPr>
          <w:rFonts w:ascii="Times New Roman" w:hAnsi="Times New Roman" w:cs="Times New Roman"/>
          <w:sz w:val="24"/>
          <w:szCs w:val="24"/>
        </w:rPr>
      </w:pPr>
      <w:r>
        <w:rPr>
          <w:rFonts w:ascii="Times New Roman" w:hAnsi="Times New Roman" w:cs="Times New Roman"/>
          <w:iCs/>
          <w:sz w:val="24"/>
          <w:szCs w:val="24"/>
        </w:rPr>
        <w:t xml:space="preserve"> </w:t>
      </w:r>
    </w:p>
    <w:p w:rsidR="005C0530" w:rsidRDefault="005C0530" w:rsidP="00E47E1B">
      <w:pPr>
        <w:pStyle w:val="NoSpacing"/>
        <w:rPr>
          <w:rFonts w:ascii="Times New Roman" w:hAnsi="Times New Roman" w:cs="Times New Roman"/>
          <w:sz w:val="24"/>
          <w:szCs w:val="24"/>
        </w:rPr>
      </w:pPr>
    </w:p>
    <w:p w:rsidR="005C0530" w:rsidRPr="005D7C2D" w:rsidRDefault="005C0530" w:rsidP="00E47E1B">
      <w:pPr>
        <w:pStyle w:val="NoSpacing"/>
        <w:rPr>
          <w:rFonts w:ascii="Times New Roman" w:hAnsi="Times New Roman" w:cs="Times New Roman"/>
          <w:sz w:val="24"/>
          <w:szCs w:val="24"/>
        </w:rPr>
      </w:pPr>
    </w:p>
    <w:p w:rsidR="00E47E1B" w:rsidRPr="003D4E84" w:rsidRDefault="00E47E1B" w:rsidP="00D10488">
      <w:pPr>
        <w:pStyle w:val="NoSpacing"/>
        <w:rPr>
          <w:rFonts w:ascii="Times New Roman" w:hAnsi="Times New Roman" w:cs="Times New Roman"/>
          <w:sz w:val="24"/>
          <w:szCs w:val="24"/>
        </w:rPr>
      </w:pPr>
    </w:p>
    <w:p w:rsidR="007D70EF" w:rsidRPr="00D223A5" w:rsidRDefault="007D70EF" w:rsidP="00582325">
      <w:pPr>
        <w:pStyle w:val="NoSpacing"/>
        <w:rPr>
          <w:rFonts w:ascii="Times New Roman" w:hAnsi="Times New Roman" w:cs="Times New Roman"/>
          <w:sz w:val="24"/>
          <w:szCs w:val="24"/>
        </w:rPr>
      </w:pPr>
    </w:p>
    <w:sectPr w:rsidR="007D70EF" w:rsidRPr="00D223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747" w:rsidRDefault="00232747" w:rsidP="00454768">
      <w:pPr>
        <w:spacing w:after="0" w:line="240" w:lineRule="auto"/>
      </w:pPr>
      <w:r>
        <w:separator/>
      </w:r>
    </w:p>
  </w:endnote>
  <w:endnote w:type="continuationSeparator" w:id="0">
    <w:p w:rsidR="00232747" w:rsidRDefault="00232747" w:rsidP="00454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ewBaskerville">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747" w:rsidRDefault="00232747" w:rsidP="00454768">
      <w:pPr>
        <w:spacing w:after="0" w:line="240" w:lineRule="auto"/>
      </w:pPr>
      <w:r>
        <w:separator/>
      </w:r>
    </w:p>
  </w:footnote>
  <w:footnote w:type="continuationSeparator" w:id="0">
    <w:p w:rsidR="00232747" w:rsidRDefault="00232747" w:rsidP="00454768">
      <w:pPr>
        <w:spacing w:after="0" w:line="240" w:lineRule="auto"/>
      </w:pPr>
      <w:r>
        <w:continuationSeparator/>
      </w:r>
    </w:p>
  </w:footnote>
  <w:footnote w:id="1">
    <w:p w:rsidR="00655149" w:rsidRPr="00655149" w:rsidRDefault="00655149">
      <w:pPr>
        <w:pStyle w:val="FootnoteText"/>
        <w:rPr>
          <w:rFonts w:ascii="Times New Roman" w:hAnsi="Times New Roman" w:cs="Times New Roman"/>
        </w:rPr>
      </w:pPr>
      <w:r w:rsidRPr="00655149">
        <w:rPr>
          <w:rStyle w:val="FootnoteReference"/>
        </w:rPr>
        <w:sym w:font="Symbol" w:char="F02A"/>
      </w:r>
      <w:r>
        <w:t xml:space="preserve"> </w:t>
      </w:r>
      <w:proofErr w:type="gramStart"/>
      <w:r>
        <w:rPr>
          <w:rFonts w:ascii="Times New Roman" w:hAnsi="Times New Roman" w:cs="Times New Roman"/>
        </w:rPr>
        <w:t>A. Robert Noll Professor of Law, Cornell University, Ithaca, NY.</w:t>
      </w:r>
      <w:proofErr w:type="gramEnd"/>
    </w:p>
  </w:footnote>
  <w:footnote w:id="2">
    <w:p w:rsidR="00454768" w:rsidRPr="00454768" w:rsidRDefault="00454768">
      <w:pPr>
        <w:pStyle w:val="FootnoteText"/>
        <w:rPr>
          <w:rFonts w:ascii="Times New Roman" w:hAnsi="Times New Roman" w:cs="Times New Roman"/>
        </w:rPr>
      </w:pPr>
      <w:r>
        <w:rPr>
          <w:rStyle w:val="FootnoteReference"/>
        </w:rPr>
        <w:footnoteRef/>
      </w:r>
      <w:r>
        <w:t xml:space="preserve"> </w:t>
      </w:r>
      <w:r w:rsidRPr="00454768">
        <w:rPr>
          <w:rFonts w:ascii="Times New Roman" w:hAnsi="Times New Roman" w:cs="Times New Roman"/>
          <w:smallCaps/>
        </w:rPr>
        <w:t>Susan Reynold, Before Eminent Doman: Toward a History of Expropriation of Land for the Common Good</w:t>
      </w:r>
      <w:r>
        <w:rPr>
          <w:rFonts w:ascii="Times New Roman" w:hAnsi="Times New Roman" w:cs="Times New Roman"/>
        </w:rPr>
        <w:t xml:space="preserve"> Chapel Hill, NC, 2010), p. 3. </w:t>
      </w:r>
    </w:p>
  </w:footnote>
  <w:footnote w:id="3">
    <w:p w:rsidR="00466D2C" w:rsidRPr="00454768" w:rsidRDefault="00454768">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Id.</w:t>
      </w:r>
      <w:r>
        <w:rPr>
          <w:rFonts w:ascii="Times New Roman" w:hAnsi="Times New Roman" w:cs="Times New Roman"/>
        </w:rPr>
        <w:t>, p. 4.</w:t>
      </w:r>
    </w:p>
  </w:footnote>
  <w:footnote w:id="4">
    <w:p w:rsidR="00466D2C" w:rsidRPr="00466D2C" w:rsidRDefault="00466D2C">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See</w:t>
      </w:r>
      <w:r>
        <w:rPr>
          <w:rFonts w:ascii="Times New Roman" w:hAnsi="Times New Roman" w:cs="Times New Roman"/>
        </w:rPr>
        <w:t xml:space="preserve"> </w:t>
      </w:r>
      <w:r w:rsidRPr="00466D2C">
        <w:rPr>
          <w:rFonts w:ascii="Times New Roman" w:hAnsi="Times New Roman" w:cs="Times New Roman"/>
          <w:smallCaps/>
        </w:rPr>
        <w:t>Richard A. Posner, Economic Analysis of Law</w:t>
      </w:r>
      <w:r>
        <w:rPr>
          <w:rFonts w:ascii="Times New Roman" w:hAnsi="Times New Roman" w:cs="Times New Roman"/>
        </w:rPr>
        <w:t>, 6</w:t>
      </w:r>
      <w:r w:rsidRPr="00466D2C">
        <w:rPr>
          <w:rFonts w:ascii="Times New Roman" w:hAnsi="Times New Roman" w:cs="Times New Roman"/>
          <w:vertAlign w:val="superscript"/>
        </w:rPr>
        <w:t>th</w:t>
      </w:r>
      <w:r>
        <w:rPr>
          <w:rFonts w:ascii="Times New Roman" w:hAnsi="Times New Roman" w:cs="Times New Roman"/>
        </w:rPr>
        <w:t xml:space="preserve"> ed. (2003), pp. 55-56.</w:t>
      </w:r>
    </w:p>
  </w:footnote>
  <w:footnote w:id="5">
    <w:p w:rsidR="00F1641C" w:rsidRPr="00F1641C" w:rsidRDefault="00F1641C" w:rsidP="00261791">
      <w:pPr>
        <w:spacing w:after="240"/>
        <w:ind w:firstLine="720"/>
        <w:rPr>
          <w:rFonts w:ascii="Times New Roman" w:hAnsi="Times New Roman" w:cs="Times New Roman"/>
        </w:rPr>
      </w:pPr>
      <w:r>
        <w:rPr>
          <w:rStyle w:val="FootnoteReference"/>
        </w:rPr>
        <w:footnoteRef/>
      </w:r>
      <w:r>
        <w:t xml:space="preserve"> </w:t>
      </w:r>
      <w:r>
        <w:rPr>
          <w:rFonts w:ascii="Times New Roman" w:hAnsi="Times New Roman" w:cs="Times New Roman"/>
          <w:i/>
        </w:rPr>
        <w:t xml:space="preserve">See </w:t>
      </w:r>
      <w:r w:rsidRPr="00F1641C">
        <w:rPr>
          <w:rFonts w:ascii="Times New Roman" w:hAnsi="Times New Roman" w:cs="Times New Roman"/>
        </w:rPr>
        <w:t xml:space="preserve">Thomas W. Merrill, </w:t>
      </w:r>
      <w:r w:rsidRPr="00F1641C">
        <w:rPr>
          <w:rFonts w:ascii="Times New Roman" w:hAnsi="Times New Roman" w:cs="Times New Roman"/>
          <w:i/>
          <w:iCs/>
        </w:rPr>
        <w:t>The Economics of Eminent Domain</w:t>
      </w:r>
      <w:r w:rsidRPr="00F1641C">
        <w:rPr>
          <w:rFonts w:ascii="Times New Roman" w:hAnsi="Times New Roman" w:cs="Times New Roman"/>
        </w:rPr>
        <w:t xml:space="preserve">, 72 </w:t>
      </w:r>
      <w:r w:rsidRPr="00F1641C">
        <w:rPr>
          <w:rFonts w:ascii="Times New Roman" w:hAnsi="Times New Roman" w:cs="Times New Roman"/>
          <w:smallCaps/>
        </w:rPr>
        <w:t>Cornell. L. Rev</w:t>
      </w:r>
      <w:r>
        <w:rPr>
          <w:rFonts w:ascii="Times New Roman" w:hAnsi="Times New Roman" w:cs="Times New Roman"/>
        </w:rPr>
        <w:t>.</w:t>
      </w:r>
      <w:r w:rsidRPr="00F1641C">
        <w:rPr>
          <w:rFonts w:ascii="Times New Roman" w:hAnsi="Times New Roman" w:cs="Times New Roman"/>
        </w:rPr>
        <w:t xml:space="preserve"> 61, 81-82 (1986).</w:t>
      </w:r>
    </w:p>
  </w:footnote>
  <w:footnote w:id="6">
    <w:p w:rsidR="00261791" w:rsidRDefault="00261791">
      <w:pPr>
        <w:pStyle w:val="FootnoteText"/>
      </w:pPr>
      <w:r>
        <w:rPr>
          <w:rStyle w:val="FootnoteReference"/>
        </w:rPr>
        <w:footnoteRef/>
      </w:r>
      <w:r>
        <w:t xml:space="preserve"> </w:t>
      </w:r>
      <w:proofErr w:type="gramStart"/>
      <w:r w:rsidRPr="00261791">
        <w:rPr>
          <w:rFonts w:ascii="Times New Roman" w:hAnsi="Times New Roman" w:cs="Times New Roman"/>
          <w:smallCaps/>
        </w:rPr>
        <w:t>Basic Law of the Federal Republic of Germany</w:t>
      </w:r>
      <w:r w:rsidRPr="00261791">
        <w:rPr>
          <w:rFonts w:ascii="Times New Roman" w:hAnsi="Times New Roman" w:cs="Times New Roman"/>
        </w:rPr>
        <w:t xml:space="preserve"> art.</w:t>
      </w:r>
      <w:proofErr w:type="gramEnd"/>
      <w:r w:rsidRPr="00261791">
        <w:rPr>
          <w:rFonts w:ascii="Times New Roman" w:hAnsi="Times New Roman" w:cs="Times New Roman"/>
        </w:rPr>
        <w:t xml:space="preserve"> </w:t>
      </w:r>
      <w:proofErr w:type="gramStart"/>
      <w:r w:rsidRPr="00261791">
        <w:rPr>
          <w:rFonts w:ascii="Times New Roman" w:hAnsi="Times New Roman" w:cs="Times New Roman"/>
        </w:rPr>
        <w:t>14(2).</w:t>
      </w:r>
      <w:proofErr w:type="gramEnd"/>
    </w:p>
  </w:footnote>
  <w:footnote w:id="7">
    <w:p w:rsidR="00261791" w:rsidRDefault="00261791">
      <w:pPr>
        <w:pStyle w:val="FootnoteText"/>
      </w:pPr>
      <w:r>
        <w:rPr>
          <w:rStyle w:val="FootnoteReference"/>
        </w:rPr>
        <w:footnoteRef/>
      </w:r>
      <w:r>
        <w:t xml:space="preserve"> </w:t>
      </w:r>
      <w:r w:rsidRPr="00261791">
        <w:rPr>
          <w:rFonts w:ascii="Times New Roman" w:hAnsi="Times New Roman" w:cs="Times New Roman"/>
          <w:smallCaps/>
        </w:rPr>
        <w:t>Constitution of the Republic of South Africa</w:t>
      </w:r>
      <w:r>
        <w:t xml:space="preserve"> </w:t>
      </w:r>
      <w:r w:rsidRPr="00261791">
        <w:rPr>
          <w:rFonts w:ascii="Times New Roman" w:hAnsi="Times New Roman" w:cs="Times New Roman"/>
        </w:rPr>
        <w:t>section 25</w:t>
      </w:r>
      <w:r w:rsidR="005A4086">
        <w:rPr>
          <w:rFonts w:ascii="Times New Roman" w:hAnsi="Times New Roman" w:cs="Times New Roman"/>
        </w:rPr>
        <w:t>(2), (4).</w:t>
      </w:r>
    </w:p>
  </w:footnote>
  <w:footnote w:id="8">
    <w:p w:rsidR="00FE478D" w:rsidRPr="000D7CFA" w:rsidRDefault="00FE478D">
      <w:pPr>
        <w:pStyle w:val="FootnoteText"/>
        <w:rPr>
          <w:rFonts w:ascii="Times New Roman" w:hAnsi="Times New Roman" w:cs="Times New Roman"/>
          <w:i/>
        </w:rPr>
      </w:pPr>
      <w:r>
        <w:rPr>
          <w:rStyle w:val="FootnoteReference"/>
        </w:rPr>
        <w:footnoteRef/>
      </w:r>
      <w:r>
        <w:t xml:space="preserve"> </w:t>
      </w:r>
      <w:r w:rsidR="000D7CFA">
        <w:rPr>
          <w:rFonts w:ascii="Times New Roman" w:hAnsi="Times New Roman" w:cs="Times New Roman"/>
          <w:i/>
        </w:rPr>
        <w:t xml:space="preserve">See </w:t>
      </w:r>
      <w:proofErr w:type="spellStart"/>
      <w:r w:rsidR="000D7CFA" w:rsidRPr="000D7CFA">
        <w:rPr>
          <w:rFonts w:ascii="Times New Roman" w:hAnsi="Times New Roman" w:cs="Times New Roman"/>
          <w:smallCaps/>
        </w:rPr>
        <w:t>Amartya</w:t>
      </w:r>
      <w:proofErr w:type="spellEnd"/>
      <w:r w:rsidR="000D7CFA" w:rsidRPr="000D7CFA">
        <w:rPr>
          <w:rFonts w:ascii="Times New Roman" w:hAnsi="Times New Roman" w:cs="Times New Roman"/>
          <w:smallCaps/>
        </w:rPr>
        <w:t xml:space="preserve"> Sen</w:t>
      </w:r>
      <w:r w:rsidR="000D7CFA" w:rsidRPr="000D7CFA">
        <w:rPr>
          <w:rFonts w:ascii="Times New Roman" w:hAnsi="Times New Roman" w:cs="Times New Roman"/>
        </w:rPr>
        <w:t xml:space="preserve">, </w:t>
      </w:r>
      <w:r w:rsidR="000D7CFA" w:rsidRPr="000D7CFA">
        <w:rPr>
          <w:rFonts w:ascii="Times New Roman" w:hAnsi="Times New Roman" w:cs="Times New Roman"/>
          <w:smallCaps/>
        </w:rPr>
        <w:t xml:space="preserve">Commodities and Capabilities </w:t>
      </w:r>
      <w:r w:rsidR="000D7CFA" w:rsidRPr="000D7CFA">
        <w:rPr>
          <w:rFonts w:ascii="Times New Roman" w:hAnsi="Times New Roman" w:cs="Times New Roman"/>
        </w:rPr>
        <w:t>(1985)</w:t>
      </w:r>
      <w:proofErr w:type="gramStart"/>
      <w:r w:rsidR="000D7CFA">
        <w:rPr>
          <w:rFonts w:ascii="Times New Roman" w:hAnsi="Times New Roman" w:cs="Times New Roman"/>
        </w:rPr>
        <w:t>,  pp</w:t>
      </w:r>
      <w:proofErr w:type="gramEnd"/>
      <w:r w:rsidR="000D7CFA">
        <w:rPr>
          <w:rFonts w:ascii="Times New Roman" w:hAnsi="Times New Roman" w:cs="Times New Roman"/>
        </w:rPr>
        <w:t>. 10-11.</w:t>
      </w:r>
    </w:p>
  </w:footnote>
  <w:footnote w:id="9">
    <w:p w:rsidR="00734F69" w:rsidRPr="00734F69" w:rsidRDefault="00734F69" w:rsidP="00734F69">
      <w:pPr>
        <w:pStyle w:val="FootNote"/>
        <w:rPr>
          <w:rFonts w:ascii="Times New Roman" w:hAnsi="Times New Roman"/>
          <w:sz w:val="20"/>
        </w:rPr>
      </w:pPr>
      <w:r>
        <w:rPr>
          <w:rStyle w:val="FootnoteReference"/>
        </w:rPr>
        <w:footnoteRef/>
      </w:r>
      <w:r>
        <w:t xml:space="preserve"> </w:t>
      </w:r>
      <w:r>
        <w:rPr>
          <w:rFonts w:ascii="Times New Roman" w:hAnsi="Times New Roman"/>
          <w:i/>
          <w:sz w:val="20"/>
        </w:rPr>
        <w:t xml:space="preserve">See </w:t>
      </w:r>
      <w:proofErr w:type="spellStart"/>
      <w:r w:rsidRPr="00734F69">
        <w:rPr>
          <w:rFonts w:ascii="Times New Roman" w:hAnsi="Times New Roman"/>
          <w:smallCaps/>
          <w:sz w:val="20"/>
        </w:rPr>
        <w:t>Amartya</w:t>
      </w:r>
      <w:proofErr w:type="spellEnd"/>
      <w:r>
        <w:rPr>
          <w:rFonts w:ascii="Times New Roman" w:hAnsi="Times New Roman"/>
          <w:sz w:val="20"/>
        </w:rPr>
        <w:t xml:space="preserve"> </w:t>
      </w:r>
      <w:r w:rsidRPr="00734F69">
        <w:rPr>
          <w:rFonts w:ascii="Times New Roman" w:hAnsi="Times New Roman"/>
          <w:smallCaps/>
          <w:sz w:val="20"/>
        </w:rPr>
        <w:t>Sen, Development as Freedom</w:t>
      </w:r>
      <w:r>
        <w:rPr>
          <w:rFonts w:ascii="Times New Roman" w:hAnsi="Times New Roman"/>
          <w:smallCaps/>
          <w:sz w:val="20"/>
        </w:rPr>
        <w:t xml:space="preserve"> (</w:t>
      </w:r>
      <w:r w:rsidRPr="00734F69">
        <w:rPr>
          <w:rFonts w:ascii="Times New Roman" w:hAnsi="Times New Roman"/>
          <w:sz w:val="20"/>
        </w:rPr>
        <w:t>New York</w:t>
      </w:r>
      <w:r>
        <w:rPr>
          <w:rFonts w:ascii="Times New Roman" w:hAnsi="Times New Roman"/>
          <w:smallCaps/>
          <w:sz w:val="20"/>
        </w:rPr>
        <w:t>, 1999)</w:t>
      </w:r>
      <w:r w:rsidRPr="00734F69">
        <w:rPr>
          <w:rFonts w:ascii="Times New Roman" w:hAnsi="Times New Roman"/>
          <w:smallCaps/>
          <w:sz w:val="20"/>
        </w:rPr>
        <w:t>,</w:t>
      </w:r>
      <w:r w:rsidRPr="00734F69">
        <w:rPr>
          <w:rFonts w:ascii="Times New Roman" w:hAnsi="Times New Roman"/>
          <w:sz w:val="20"/>
        </w:rPr>
        <w:t xml:space="preserve"> </w:t>
      </w:r>
      <w:r>
        <w:rPr>
          <w:rFonts w:ascii="Times New Roman" w:hAnsi="Times New Roman"/>
          <w:sz w:val="20"/>
        </w:rPr>
        <w:t>p.</w:t>
      </w:r>
      <w:r w:rsidRPr="00734F69">
        <w:rPr>
          <w:rFonts w:ascii="Times New Roman" w:hAnsi="Times New Roman"/>
          <w:sz w:val="20"/>
        </w:rPr>
        <w:t xml:space="preserve"> 70–86.</w:t>
      </w:r>
    </w:p>
  </w:footnote>
  <w:footnote w:id="10">
    <w:p w:rsidR="00734F69" w:rsidRPr="00734F69" w:rsidRDefault="00734F69">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Id.</w:t>
      </w:r>
      <w:r>
        <w:rPr>
          <w:rFonts w:ascii="Times New Roman" w:hAnsi="Times New Roman" w:cs="Times New Roman"/>
        </w:rPr>
        <w:t>, p. 75.</w:t>
      </w:r>
    </w:p>
  </w:footnote>
  <w:footnote w:id="11">
    <w:p w:rsidR="00D223A5" w:rsidRPr="00D223A5" w:rsidRDefault="00D223A5">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 xml:space="preserve">See </w:t>
      </w:r>
      <w:r w:rsidRPr="00D223A5">
        <w:rPr>
          <w:rFonts w:ascii="Times New Roman" w:hAnsi="Times New Roman" w:cs="Times New Roman"/>
          <w:smallCaps/>
        </w:rPr>
        <w:t xml:space="preserve">Martha C. Nussbaum, Women and Human Development </w:t>
      </w:r>
      <w:r w:rsidRPr="00D223A5">
        <w:rPr>
          <w:rFonts w:ascii="Times New Roman" w:hAnsi="Times New Roman" w:cs="Times New Roman"/>
        </w:rPr>
        <w:t>(2000)</w:t>
      </w:r>
      <w:r>
        <w:rPr>
          <w:rFonts w:ascii="Times New Roman" w:hAnsi="Times New Roman" w:cs="Times New Roman"/>
        </w:rPr>
        <w:t>, pp. 87-88.</w:t>
      </w:r>
    </w:p>
  </w:footnote>
  <w:footnote w:id="12">
    <w:p w:rsidR="00165176" w:rsidRPr="00165176" w:rsidRDefault="00165176">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Thomas W. Merrill, </w:t>
      </w:r>
      <w:proofErr w:type="gramStart"/>
      <w:r w:rsidRPr="00165176">
        <w:rPr>
          <w:rFonts w:ascii="Times New Roman" w:hAnsi="Times New Roman" w:cs="Times New Roman"/>
          <w:i/>
        </w:rPr>
        <w:t>The</w:t>
      </w:r>
      <w:proofErr w:type="gramEnd"/>
      <w:r w:rsidRPr="00165176">
        <w:rPr>
          <w:rFonts w:ascii="Times New Roman" w:hAnsi="Times New Roman" w:cs="Times New Roman"/>
          <w:i/>
        </w:rPr>
        <w:t xml:space="preserve"> Economics of Public Use</w:t>
      </w:r>
      <w:r>
        <w:rPr>
          <w:rFonts w:ascii="Times New Roman" w:hAnsi="Times New Roman" w:cs="Times New Roman"/>
        </w:rPr>
        <w:t xml:space="preserve">, 72 </w:t>
      </w:r>
      <w:r w:rsidRPr="00165176">
        <w:rPr>
          <w:rFonts w:ascii="Times New Roman" w:hAnsi="Times New Roman" w:cs="Times New Roman"/>
          <w:smallCaps/>
        </w:rPr>
        <w:t>Cornell. L. Rev</w:t>
      </w:r>
      <w:r>
        <w:rPr>
          <w:rFonts w:ascii="Times New Roman" w:hAnsi="Times New Roman" w:cs="Times New Roman"/>
        </w:rPr>
        <w:t>. 61, 61 (1986).</w:t>
      </w:r>
    </w:p>
  </w:footnote>
  <w:footnote w:id="13">
    <w:p w:rsidR="003B19D9" w:rsidRPr="003B19D9" w:rsidRDefault="003B19D9">
      <w:pPr>
        <w:pStyle w:val="FootnoteText"/>
        <w:rPr>
          <w:rFonts w:ascii="Times New Roman" w:hAnsi="Times New Roman" w:cs="Times New Roman"/>
        </w:rPr>
      </w:pPr>
      <w:r>
        <w:rPr>
          <w:rStyle w:val="FootnoteReference"/>
        </w:rPr>
        <w:footnoteRef/>
      </w:r>
      <w:r>
        <w:t xml:space="preserve"> </w:t>
      </w:r>
      <w:proofErr w:type="gramStart"/>
      <w:r>
        <w:rPr>
          <w:rFonts w:ascii="Times New Roman" w:hAnsi="Times New Roman" w:cs="Times New Roman"/>
        </w:rPr>
        <w:t>545 U.S. 469 (2005).</w:t>
      </w:r>
      <w:proofErr w:type="gramEnd"/>
    </w:p>
  </w:footnote>
  <w:footnote w:id="14">
    <w:p w:rsidR="001011A4" w:rsidRPr="001011A4" w:rsidRDefault="001011A4">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See</w:t>
      </w:r>
      <w:r>
        <w:rPr>
          <w:rFonts w:ascii="Times New Roman" w:hAnsi="Times New Roman" w:cs="Times New Roman"/>
        </w:rPr>
        <w:t xml:space="preserve"> Lawrence Berger, </w:t>
      </w:r>
      <w:proofErr w:type="gramStart"/>
      <w:r w:rsidRPr="001011A4">
        <w:rPr>
          <w:rFonts w:ascii="Times New Roman" w:hAnsi="Times New Roman" w:cs="Times New Roman"/>
          <w:i/>
        </w:rPr>
        <w:t>The</w:t>
      </w:r>
      <w:proofErr w:type="gramEnd"/>
      <w:r w:rsidRPr="001011A4">
        <w:rPr>
          <w:rFonts w:ascii="Times New Roman" w:hAnsi="Times New Roman" w:cs="Times New Roman"/>
          <w:i/>
        </w:rPr>
        <w:t xml:space="preserve"> Public Use Requirement in Eminent Domain</w:t>
      </w:r>
      <w:r>
        <w:rPr>
          <w:rFonts w:ascii="Times New Roman" w:hAnsi="Times New Roman" w:cs="Times New Roman"/>
        </w:rPr>
        <w:t xml:space="preserve">, 57 </w:t>
      </w:r>
      <w:r w:rsidRPr="001011A4">
        <w:rPr>
          <w:rFonts w:ascii="Times New Roman" w:hAnsi="Times New Roman" w:cs="Times New Roman"/>
          <w:smallCaps/>
        </w:rPr>
        <w:t>Or. L. Rev</w:t>
      </w:r>
      <w:r>
        <w:rPr>
          <w:rFonts w:ascii="Times New Roman" w:hAnsi="Times New Roman" w:cs="Times New Roman"/>
        </w:rPr>
        <w:t>. 203, 205, 209 (1978).</w:t>
      </w:r>
    </w:p>
  </w:footnote>
  <w:footnote w:id="15">
    <w:p w:rsidR="00690484" w:rsidRPr="00690484" w:rsidRDefault="00690484">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See</w:t>
      </w:r>
      <w:r>
        <w:rPr>
          <w:rFonts w:ascii="Times New Roman" w:hAnsi="Times New Roman" w:cs="Times New Roman"/>
        </w:rPr>
        <w:t xml:space="preserve"> Berman v. Parker, 38 U.S. 26 (1954).</w:t>
      </w:r>
    </w:p>
  </w:footnote>
  <w:footnote w:id="16">
    <w:p w:rsidR="00D1705A" w:rsidRPr="00D1705A" w:rsidRDefault="00D1705A">
      <w:pPr>
        <w:pStyle w:val="FootnoteText"/>
        <w:rPr>
          <w:rFonts w:ascii="Times New Roman" w:hAnsi="Times New Roman" w:cs="Times New Roman"/>
        </w:rPr>
      </w:pPr>
      <w:r>
        <w:rPr>
          <w:rStyle w:val="FootnoteReference"/>
        </w:rPr>
        <w:footnoteRef/>
      </w:r>
      <w:r>
        <w:t xml:space="preserve"> </w:t>
      </w:r>
      <w:proofErr w:type="gramStart"/>
      <w:r>
        <w:rPr>
          <w:rFonts w:ascii="Times New Roman" w:hAnsi="Times New Roman" w:cs="Times New Roman"/>
        </w:rPr>
        <w:t>545 U.S. at    .</w:t>
      </w:r>
      <w:proofErr w:type="gramEnd"/>
    </w:p>
  </w:footnote>
  <w:footnote w:id="17">
    <w:p w:rsidR="002D21CD" w:rsidRPr="002D21CD" w:rsidRDefault="002D21CD">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Ibid.</w:t>
      </w:r>
    </w:p>
  </w:footnote>
  <w:footnote w:id="18">
    <w:p w:rsidR="00290748" w:rsidRPr="00290748" w:rsidRDefault="00290748">
      <w:pPr>
        <w:pStyle w:val="FootnoteText"/>
        <w:rPr>
          <w:rFonts w:ascii="Times New Roman" w:hAnsi="Times New Roman" w:cs="Times New Roman"/>
          <w:i/>
        </w:rPr>
      </w:pPr>
      <w:r>
        <w:rPr>
          <w:rStyle w:val="FootnoteReference"/>
        </w:rPr>
        <w:footnoteRef/>
      </w:r>
      <w:r>
        <w:t xml:space="preserve"> </w:t>
      </w:r>
      <w:r>
        <w:rPr>
          <w:rFonts w:ascii="Times New Roman" w:hAnsi="Times New Roman" w:cs="Times New Roman"/>
          <w:i/>
        </w:rPr>
        <w:t>Ibid.</w:t>
      </w:r>
    </w:p>
  </w:footnote>
  <w:footnote w:id="19">
    <w:p w:rsidR="0033503C" w:rsidRPr="0033503C" w:rsidRDefault="0033503C">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Id.</w:t>
      </w:r>
      <w:r>
        <w:rPr>
          <w:rFonts w:ascii="Times New Roman" w:hAnsi="Times New Roman" w:cs="Times New Roman"/>
        </w:rPr>
        <w:t>, p. 494.</w:t>
      </w:r>
    </w:p>
  </w:footnote>
  <w:footnote w:id="20">
    <w:p w:rsidR="00AA58E0" w:rsidRPr="00AA58E0" w:rsidRDefault="00AA58E0">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Id.</w:t>
      </w:r>
      <w:r>
        <w:rPr>
          <w:rFonts w:ascii="Times New Roman" w:hAnsi="Times New Roman" w:cs="Times New Roman"/>
        </w:rPr>
        <w:t>, p. 501.</w:t>
      </w:r>
    </w:p>
  </w:footnote>
  <w:footnote w:id="21">
    <w:p w:rsidR="00DE4AA3" w:rsidRPr="00DE4AA3" w:rsidRDefault="00DE4AA3">
      <w:pPr>
        <w:pStyle w:val="FootnoteText"/>
        <w:rPr>
          <w:rFonts w:ascii="Times New Roman" w:hAnsi="Times New Roman" w:cs="Times New Roman"/>
          <w:i/>
        </w:rPr>
      </w:pPr>
      <w:r>
        <w:rPr>
          <w:rStyle w:val="FootnoteReference"/>
        </w:rPr>
        <w:footnoteRef/>
      </w:r>
      <w:r>
        <w:t xml:space="preserve"> </w:t>
      </w:r>
      <w:r>
        <w:rPr>
          <w:rFonts w:ascii="Times New Roman" w:hAnsi="Times New Roman" w:cs="Times New Roman"/>
          <w:i/>
        </w:rPr>
        <w:t>Ibid.</w:t>
      </w:r>
    </w:p>
  </w:footnote>
  <w:footnote w:id="22">
    <w:p w:rsidR="00217DC2" w:rsidRPr="00217DC2" w:rsidRDefault="00217DC2">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Id.</w:t>
      </w:r>
      <w:r>
        <w:rPr>
          <w:rFonts w:ascii="Times New Roman" w:hAnsi="Times New Roman" w:cs="Times New Roman"/>
        </w:rPr>
        <w:t>, p. 503.</w:t>
      </w:r>
    </w:p>
  </w:footnote>
  <w:footnote w:id="23">
    <w:p w:rsidR="007C5839" w:rsidRPr="007C5839" w:rsidRDefault="007C5839">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See</w:t>
      </w:r>
      <w:r>
        <w:rPr>
          <w:rFonts w:ascii="Times New Roman" w:hAnsi="Times New Roman" w:cs="Times New Roman"/>
        </w:rPr>
        <w:t xml:space="preserve"> 1949 Basic Law of the Federal Republic of Germany art. 14.3.1</w:t>
      </w:r>
      <w:r w:rsidR="00672856">
        <w:rPr>
          <w:rFonts w:ascii="Times New Roman" w:hAnsi="Times New Roman" w:cs="Times New Roman"/>
        </w:rPr>
        <w:t xml:space="preserve"> (“</w:t>
      </w:r>
      <w:r w:rsidR="000E019C">
        <w:rPr>
          <w:rFonts w:ascii="Times New Roman" w:hAnsi="Times New Roman" w:cs="Times New Roman"/>
        </w:rPr>
        <w:t>Expropriation shall only be permissible in the public interest.”)</w:t>
      </w:r>
    </w:p>
  </w:footnote>
  <w:footnote w:id="24">
    <w:p w:rsidR="00672856" w:rsidRPr="00672856" w:rsidRDefault="00672856">
      <w:pPr>
        <w:pStyle w:val="FootnoteText"/>
        <w:rPr>
          <w:rFonts w:ascii="Times New Roman" w:hAnsi="Times New Roman" w:cs="Times New Roman"/>
        </w:rPr>
      </w:pPr>
      <w:r>
        <w:rPr>
          <w:rStyle w:val="FootnoteReference"/>
        </w:rPr>
        <w:footnoteRef/>
      </w:r>
      <w:r>
        <w:t xml:space="preserve"> </w:t>
      </w:r>
      <w:proofErr w:type="spellStart"/>
      <w:proofErr w:type="gramStart"/>
      <w:r>
        <w:rPr>
          <w:rFonts w:ascii="Times New Roman" w:hAnsi="Times New Roman" w:cs="Times New Roman"/>
        </w:rPr>
        <w:t>BVerfGE</w:t>
      </w:r>
      <w:proofErr w:type="spellEnd"/>
      <w:r>
        <w:rPr>
          <w:rFonts w:ascii="Times New Roman" w:hAnsi="Times New Roman" w:cs="Times New Roman"/>
        </w:rPr>
        <w:t xml:space="preserve"> 66, 248 (1984).</w:t>
      </w:r>
      <w:proofErr w:type="gramEnd"/>
    </w:p>
  </w:footnote>
  <w:footnote w:id="25">
    <w:p w:rsidR="007D65C1" w:rsidRPr="007D65C1" w:rsidRDefault="007D65C1">
      <w:pPr>
        <w:pStyle w:val="FootnoteText"/>
        <w:rPr>
          <w:rFonts w:ascii="Times New Roman" w:hAnsi="Times New Roman" w:cs="Times New Roman"/>
        </w:rPr>
      </w:pPr>
      <w:r>
        <w:rPr>
          <w:rStyle w:val="FootnoteReference"/>
        </w:rPr>
        <w:footnoteRef/>
      </w:r>
      <w:r>
        <w:t xml:space="preserve"> </w:t>
      </w:r>
      <w:proofErr w:type="spellStart"/>
      <w:proofErr w:type="gramStart"/>
      <w:r>
        <w:rPr>
          <w:rFonts w:ascii="Times New Roman" w:hAnsi="Times New Roman" w:cs="Times New Roman"/>
        </w:rPr>
        <w:t>BVerfGE</w:t>
      </w:r>
      <w:proofErr w:type="spellEnd"/>
      <w:r>
        <w:rPr>
          <w:rFonts w:ascii="Times New Roman" w:hAnsi="Times New Roman" w:cs="Times New Roman"/>
        </w:rPr>
        <w:t xml:space="preserve"> 74, 264 (1987).</w:t>
      </w:r>
      <w:proofErr w:type="gramEnd"/>
    </w:p>
  </w:footnote>
  <w:footnote w:id="26">
    <w:p w:rsidR="00006904" w:rsidRPr="00006904" w:rsidRDefault="00006904">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Id.</w:t>
      </w:r>
      <w:r>
        <w:rPr>
          <w:rFonts w:ascii="Times New Roman" w:hAnsi="Times New Roman" w:cs="Times New Roman"/>
        </w:rPr>
        <w:t>, p. 287.</w:t>
      </w:r>
    </w:p>
  </w:footnote>
  <w:footnote w:id="27">
    <w:p w:rsidR="005036D2" w:rsidRPr="005036D2" w:rsidRDefault="005036D2">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See</w:t>
      </w:r>
      <w:r>
        <w:rPr>
          <w:rFonts w:ascii="Times New Roman" w:hAnsi="Times New Roman" w:cs="Times New Roman"/>
        </w:rPr>
        <w:t xml:space="preserve"> Samuel </w:t>
      </w:r>
      <w:proofErr w:type="spellStart"/>
      <w:r>
        <w:rPr>
          <w:rFonts w:ascii="Times New Roman" w:hAnsi="Times New Roman" w:cs="Times New Roman"/>
        </w:rPr>
        <w:t>Scheffler</w:t>
      </w:r>
      <w:proofErr w:type="spellEnd"/>
      <w:r>
        <w:rPr>
          <w:rFonts w:ascii="Times New Roman" w:hAnsi="Times New Roman" w:cs="Times New Roman"/>
        </w:rPr>
        <w:t xml:space="preserve">, </w:t>
      </w:r>
      <w:r w:rsidRPr="005036D2">
        <w:rPr>
          <w:rFonts w:ascii="Times New Roman" w:hAnsi="Times New Roman" w:cs="Times New Roman"/>
          <w:i/>
        </w:rPr>
        <w:t>Introduction</w:t>
      </w:r>
      <w:r>
        <w:rPr>
          <w:rFonts w:ascii="Times New Roman" w:hAnsi="Times New Roman" w:cs="Times New Roman"/>
        </w:rPr>
        <w:t xml:space="preserve">, in </w:t>
      </w:r>
      <w:r w:rsidRPr="005036D2">
        <w:rPr>
          <w:rFonts w:ascii="Times New Roman" w:hAnsi="Times New Roman" w:cs="Times New Roman"/>
          <w:smallCaps/>
        </w:rPr>
        <w:t xml:space="preserve">Samuel </w:t>
      </w:r>
      <w:proofErr w:type="spellStart"/>
      <w:r w:rsidRPr="005036D2">
        <w:rPr>
          <w:rFonts w:ascii="Times New Roman" w:hAnsi="Times New Roman" w:cs="Times New Roman"/>
          <w:smallCaps/>
        </w:rPr>
        <w:t>Scheffler</w:t>
      </w:r>
      <w:proofErr w:type="spellEnd"/>
      <w:r>
        <w:rPr>
          <w:rFonts w:ascii="Times New Roman" w:hAnsi="Times New Roman" w:cs="Times New Roman"/>
        </w:rPr>
        <w:t xml:space="preserve">, ed., </w:t>
      </w:r>
      <w:r w:rsidRPr="005036D2">
        <w:rPr>
          <w:rFonts w:ascii="Times New Roman" w:hAnsi="Times New Roman" w:cs="Times New Roman"/>
          <w:smallCaps/>
        </w:rPr>
        <w:t>Consequentialism and Its Critics</w:t>
      </w:r>
      <w:r>
        <w:rPr>
          <w:rFonts w:ascii="Times New Roman" w:hAnsi="Times New Roman" w:cs="Times New Roman"/>
        </w:rPr>
        <w:t xml:space="preserve"> (Oxford, 1988), p. 1.</w:t>
      </w:r>
    </w:p>
  </w:footnote>
  <w:footnote w:id="28">
    <w:p w:rsidR="00FF261D" w:rsidRPr="00FF261D" w:rsidRDefault="00FF261D">
      <w:pPr>
        <w:pStyle w:val="FootnoteText"/>
        <w:rPr>
          <w:rFonts w:ascii="Times New Roman" w:hAnsi="Times New Roman" w:cs="Times New Roman"/>
          <w:i/>
        </w:rPr>
      </w:pPr>
      <w:r>
        <w:rPr>
          <w:rStyle w:val="FootnoteReference"/>
        </w:rPr>
        <w:footnoteRef/>
      </w:r>
      <w:r>
        <w:t xml:space="preserve"> </w:t>
      </w:r>
      <w:r>
        <w:rPr>
          <w:rFonts w:ascii="Times New Roman" w:hAnsi="Times New Roman" w:cs="Times New Roman"/>
          <w:i/>
        </w:rPr>
        <w:t>See ibid.</w:t>
      </w:r>
    </w:p>
  </w:footnote>
  <w:footnote w:id="29">
    <w:p w:rsidR="006B40D0" w:rsidRPr="006B40D0" w:rsidRDefault="006B40D0">
      <w:pPr>
        <w:pStyle w:val="FootnoteText"/>
        <w:rPr>
          <w:rFonts w:ascii="Times New Roman" w:hAnsi="Times New Roman" w:cs="Times New Roman"/>
          <w:u w:val="single"/>
        </w:rPr>
      </w:pPr>
      <w:r>
        <w:rPr>
          <w:rStyle w:val="FootnoteReference"/>
        </w:rPr>
        <w:footnoteRef/>
      </w:r>
      <w:r>
        <w:t xml:space="preserve"> </w:t>
      </w:r>
      <w:proofErr w:type="gramStart"/>
      <w:r>
        <w:rPr>
          <w:rFonts w:ascii="Times New Roman" w:hAnsi="Times New Roman" w:cs="Times New Roman"/>
          <w:i/>
        </w:rPr>
        <w:t xml:space="preserve">See, e.g., </w:t>
      </w:r>
      <w:r w:rsidRPr="006B40D0">
        <w:rPr>
          <w:rFonts w:ascii="Times New Roman" w:hAnsi="Times New Roman" w:cs="Times New Roman"/>
        </w:rPr>
        <w:t>Phillip Pettit,</w:t>
      </w:r>
      <w:r>
        <w:rPr>
          <w:rFonts w:ascii="Times New Roman" w:hAnsi="Times New Roman" w:cs="Times New Roman"/>
        </w:rPr>
        <w:t xml:space="preserve"> </w:t>
      </w:r>
      <w:r w:rsidRPr="007E22D9">
        <w:rPr>
          <w:rFonts w:ascii="Times New Roman" w:hAnsi="Times New Roman" w:cs="Times New Roman"/>
          <w:i/>
        </w:rPr>
        <w:t>The Consequentialist Perspective</w:t>
      </w:r>
      <w:r>
        <w:rPr>
          <w:rFonts w:ascii="Times New Roman" w:hAnsi="Times New Roman" w:cs="Times New Roman"/>
        </w:rPr>
        <w:t>,</w:t>
      </w:r>
      <w:r w:rsidRPr="006B40D0">
        <w:rPr>
          <w:rFonts w:ascii="Times New Roman" w:hAnsi="Times New Roman" w:cs="Times New Roman"/>
        </w:rPr>
        <w:t xml:space="preserve"> in </w:t>
      </w:r>
      <w:r w:rsidRPr="007E22D9">
        <w:rPr>
          <w:rFonts w:ascii="Times New Roman" w:hAnsi="Times New Roman" w:cs="Times New Roman"/>
          <w:smallCaps/>
        </w:rPr>
        <w:t xml:space="preserve">M. Baron, Phillip Pettit, and Michael </w:t>
      </w:r>
      <w:proofErr w:type="spellStart"/>
      <w:r w:rsidRPr="007E22D9">
        <w:rPr>
          <w:rFonts w:ascii="Times New Roman" w:hAnsi="Times New Roman" w:cs="Times New Roman"/>
          <w:smallCaps/>
        </w:rPr>
        <w:t>Slote</w:t>
      </w:r>
      <w:proofErr w:type="spellEnd"/>
      <w:r>
        <w:rPr>
          <w:rFonts w:ascii="Times New Roman" w:hAnsi="Times New Roman" w:cs="Times New Roman"/>
        </w:rPr>
        <w:t xml:space="preserve">, eds., </w:t>
      </w:r>
      <w:r w:rsidRPr="007E22D9">
        <w:rPr>
          <w:rFonts w:ascii="Times New Roman" w:hAnsi="Times New Roman" w:cs="Times New Roman"/>
          <w:smallCaps/>
        </w:rPr>
        <w:t>Three Methods of Ethics</w:t>
      </w:r>
      <w:r w:rsidRPr="006B40D0">
        <w:rPr>
          <w:rFonts w:ascii="Times New Roman" w:hAnsi="Times New Roman" w:cs="Times New Roman"/>
        </w:rPr>
        <w:t xml:space="preserve"> </w:t>
      </w:r>
      <w:r>
        <w:rPr>
          <w:rFonts w:ascii="Times New Roman" w:hAnsi="Times New Roman" w:cs="Times New Roman"/>
        </w:rPr>
        <w:t>(</w:t>
      </w:r>
      <w:r w:rsidRPr="006B40D0">
        <w:rPr>
          <w:rFonts w:ascii="Times New Roman" w:hAnsi="Times New Roman" w:cs="Times New Roman"/>
        </w:rPr>
        <w:t>Oxford</w:t>
      </w:r>
      <w:r>
        <w:rPr>
          <w:rFonts w:ascii="Times New Roman" w:hAnsi="Times New Roman" w:cs="Times New Roman"/>
        </w:rPr>
        <w:t>, 1997)</w:t>
      </w:r>
      <w:r w:rsidRPr="006B40D0">
        <w:rPr>
          <w:rFonts w:ascii="Times New Roman" w:hAnsi="Times New Roman" w:cs="Times New Roman"/>
        </w:rPr>
        <w:t>.</w:t>
      </w:r>
      <w:proofErr w:type="gramEnd"/>
      <w:r>
        <w:rPr>
          <w:rFonts w:ascii="Times New Roman" w:hAnsi="Times New Roman" w:cs="Times New Roman"/>
          <w:i/>
        </w:rPr>
        <w:t xml:space="preserve"> </w:t>
      </w:r>
      <w:r w:rsidRPr="006B40D0">
        <w:rPr>
          <w:rFonts w:ascii="Times New Roman" w:hAnsi="Times New Roman" w:cs="Times New Roman"/>
        </w:rPr>
        <w:t>p.</w:t>
      </w:r>
      <w:r>
        <w:rPr>
          <w:rFonts w:ascii="Times New Roman" w:hAnsi="Times New Roman" w:cs="Times New Roman"/>
          <w:u w:val="single"/>
        </w:rPr>
        <w:t xml:space="preserve"> </w:t>
      </w:r>
    </w:p>
  </w:footnote>
  <w:footnote w:id="30">
    <w:p w:rsidR="00991347" w:rsidRPr="00991347" w:rsidRDefault="00991347">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 xml:space="preserve">See </w:t>
      </w:r>
      <w:r>
        <w:rPr>
          <w:rFonts w:ascii="Times New Roman" w:hAnsi="Times New Roman" w:cs="Times New Roman"/>
        </w:rPr>
        <w:t xml:space="preserve">Phillip Pettit, </w:t>
      </w:r>
      <w:r w:rsidRPr="00991347">
        <w:rPr>
          <w:rFonts w:ascii="Times New Roman" w:hAnsi="Times New Roman" w:cs="Times New Roman"/>
          <w:i/>
        </w:rPr>
        <w:t xml:space="preserve">Universality </w:t>
      </w:r>
      <w:proofErr w:type="gramStart"/>
      <w:r w:rsidRPr="00991347">
        <w:rPr>
          <w:rFonts w:ascii="Times New Roman" w:hAnsi="Times New Roman" w:cs="Times New Roman"/>
          <w:i/>
        </w:rPr>
        <w:t>Without</w:t>
      </w:r>
      <w:proofErr w:type="gramEnd"/>
      <w:r w:rsidRPr="00991347">
        <w:rPr>
          <w:rFonts w:ascii="Times New Roman" w:hAnsi="Times New Roman" w:cs="Times New Roman"/>
          <w:i/>
        </w:rPr>
        <w:t xml:space="preserve"> Utilitarianism</w:t>
      </w:r>
      <w:r>
        <w:rPr>
          <w:rFonts w:ascii="Times New Roman" w:hAnsi="Times New Roman" w:cs="Times New Roman"/>
        </w:rPr>
        <w:t>,</w:t>
      </w:r>
      <w:r w:rsidRPr="00991347">
        <w:rPr>
          <w:rFonts w:ascii="Times New Roman" w:hAnsi="Times New Roman" w:cs="Times New Roman"/>
        </w:rPr>
        <w:t xml:space="preserve"> </w:t>
      </w:r>
      <w:r>
        <w:rPr>
          <w:rFonts w:ascii="Times New Roman" w:hAnsi="Times New Roman" w:cs="Times New Roman"/>
        </w:rPr>
        <w:t xml:space="preserve">72 </w:t>
      </w:r>
      <w:r w:rsidRPr="00991347">
        <w:rPr>
          <w:rFonts w:ascii="Times New Roman" w:hAnsi="Times New Roman" w:cs="Times New Roman"/>
          <w:smallCaps/>
        </w:rPr>
        <w:t>Mind</w:t>
      </w:r>
      <w:r>
        <w:rPr>
          <w:rFonts w:ascii="Times New Roman" w:hAnsi="Times New Roman" w:cs="Times New Roman"/>
        </w:rPr>
        <w:t xml:space="preserve"> </w:t>
      </w:r>
      <w:r w:rsidRPr="00991347">
        <w:rPr>
          <w:rFonts w:ascii="Times New Roman" w:hAnsi="Times New Roman" w:cs="Times New Roman"/>
        </w:rPr>
        <w:t>74</w:t>
      </w:r>
      <w:r>
        <w:rPr>
          <w:rFonts w:ascii="Times New Roman" w:hAnsi="Times New Roman" w:cs="Times New Roman"/>
        </w:rPr>
        <w:t>, 75 (1987).</w:t>
      </w:r>
    </w:p>
  </w:footnote>
  <w:footnote w:id="31">
    <w:p w:rsidR="007E22D9" w:rsidRPr="007E22D9" w:rsidRDefault="007E22D9">
      <w:pPr>
        <w:pStyle w:val="FootnoteText"/>
        <w:rPr>
          <w:rFonts w:ascii="Times New Roman" w:hAnsi="Times New Roman" w:cs="Times New Roman"/>
        </w:rPr>
      </w:pPr>
      <w:r>
        <w:rPr>
          <w:rStyle w:val="FootnoteReference"/>
        </w:rPr>
        <w:footnoteRef/>
      </w:r>
      <w:r>
        <w:t xml:space="preserve"> </w:t>
      </w:r>
      <w:proofErr w:type="gramStart"/>
      <w:r>
        <w:rPr>
          <w:rFonts w:ascii="Times New Roman" w:hAnsi="Times New Roman" w:cs="Times New Roman"/>
          <w:i/>
        </w:rPr>
        <w:t xml:space="preserve">See, e.g., </w:t>
      </w:r>
      <w:r>
        <w:rPr>
          <w:rFonts w:ascii="Times New Roman" w:hAnsi="Times New Roman" w:cs="Times New Roman"/>
        </w:rPr>
        <w:t xml:space="preserve">Jonathan </w:t>
      </w:r>
      <w:r w:rsidRPr="007E22D9">
        <w:rPr>
          <w:rFonts w:ascii="Times New Roman" w:hAnsi="Times New Roman" w:cs="Times New Roman"/>
        </w:rPr>
        <w:t>Bennett,</w:t>
      </w:r>
      <w:r>
        <w:rPr>
          <w:rFonts w:ascii="Times New Roman" w:hAnsi="Times New Roman" w:cs="Times New Roman"/>
        </w:rPr>
        <w:t xml:space="preserve"> </w:t>
      </w:r>
      <w:r w:rsidRPr="007E22D9">
        <w:rPr>
          <w:rFonts w:ascii="Times New Roman" w:hAnsi="Times New Roman" w:cs="Times New Roman"/>
          <w:i/>
        </w:rPr>
        <w:t>Two Departures from Consequentialism</w:t>
      </w:r>
      <w:r>
        <w:rPr>
          <w:rFonts w:ascii="Times New Roman" w:hAnsi="Times New Roman" w:cs="Times New Roman"/>
        </w:rPr>
        <w:t>, 100</w:t>
      </w:r>
      <w:r w:rsidRPr="007E22D9">
        <w:rPr>
          <w:rFonts w:ascii="Times New Roman" w:hAnsi="Times New Roman" w:cs="Times New Roman"/>
          <w:i/>
        </w:rPr>
        <w:t xml:space="preserve"> </w:t>
      </w:r>
      <w:r w:rsidRPr="007E22D9">
        <w:rPr>
          <w:rFonts w:ascii="Times New Roman" w:hAnsi="Times New Roman" w:cs="Times New Roman"/>
          <w:smallCaps/>
        </w:rPr>
        <w:t>Ethics</w:t>
      </w:r>
      <w:r>
        <w:rPr>
          <w:rFonts w:ascii="Times New Roman" w:hAnsi="Times New Roman" w:cs="Times New Roman"/>
        </w:rPr>
        <w:t xml:space="preserve"> </w:t>
      </w:r>
      <w:r w:rsidRPr="007E22D9">
        <w:rPr>
          <w:rFonts w:ascii="Times New Roman" w:hAnsi="Times New Roman" w:cs="Times New Roman"/>
        </w:rPr>
        <w:t>54</w:t>
      </w:r>
      <w:r>
        <w:rPr>
          <w:rFonts w:ascii="Times New Roman" w:hAnsi="Times New Roman" w:cs="Times New Roman"/>
        </w:rPr>
        <w:t xml:space="preserve"> (1989).</w:t>
      </w:r>
      <w:proofErr w:type="gramEnd"/>
    </w:p>
  </w:footnote>
  <w:footnote w:id="32">
    <w:p w:rsidR="002E7E06" w:rsidRPr="002E7E06" w:rsidRDefault="002E7E06">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See</w:t>
      </w:r>
      <w:r>
        <w:rPr>
          <w:rFonts w:ascii="Times New Roman" w:hAnsi="Times New Roman" w:cs="Times New Roman"/>
        </w:rPr>
        <w:t xml:space="preserve"> </w:t>
      </w:r>
      <w:proofErr w:type="spellStart"/>
      <w:r>
        <w:rPr>
          <w:rFonts w:ascii="Times New Roman" w:hAnsi="Times New Roman" w:cs="Times New Roman"/>
        </w:rPr>
        <w:t>Scheffler</w:t>
      </w:r>
      <w:proofErr w:type="spellEnd"/>
      <w:r>
        <w:rPr>
          <w:rFonts w:ascii="Times New Roman" w:hAnsi="Times New Roman" w:cs="Times New Roman"/>
        </w:rPr>
        <w:t xml:space="preserve">, </w:t>
      </w:r>
      <w:r w:rsidRPr="002E7E06">
        <w:rPr>
          <w:rFonts w:ascii="Times New Roman" w:hAnsi="Times New Roman" w:cs="Times New Roman"/>
          <w:i/>
        </w:rPr>
        <w:t>Introduction</w:t>
      </w:r>
      <w:r>
        <w:rPr>
          <w:rFonts w:ascii="Times New Roman" w:hAnsi="Times New Roman" w:cs="Times New Roman"/>
        </w:rPr>
        <w:t xml:space="preserve">, </w:t>
      </w:r>
      <w:r w:rsidRPr="002E7E06">
        <w:rPr>
          <w:rFonts w:ascii="Times New Roman" w:hAnsi="Times New Roman" w:cs="Times New Roman"/>
          <w:i/>
        </w:rPr>
        <w:t>supra</w:t>
      </w:r>
      <w:r>
        <w:rPr>
          <w:rFonts w:ascii="Times New Roman" w:hAnsi="Times New Roman" w:cs="Times New Roman"/>
        </w:rPr>
        <w:t xml:space="preserve">, p. 2. </w:t>
      </w:r>
    </w:p>
  </w:footnote>
  <w:footnote w:id="33">
    <w:p w:rsidR="007B7682" w:rsidRPr="007B7682" w:rsidRDefault="007B7682">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 xml:space="preserve">See </w:t>
      </w:r>
      <w:proofErr w:type="spellStart"/>
      <w:r w:rsidRPr="007B7682">
        <w:rPr>
          <w:rFonts w:ascii="Times New Roman" w:hAnsi="Times New Roman" w:cs="Times New Roman"/>
          <w:smallCaps/>
        </w:rPr>
        <w:t>Amartya</w:t>
      </w:r>
      <w:proofErr w:type="spellEnd"/>
      <w:r w:rsidRPr="007B7682">
        <w:rPr>
          <w:rFonts w:ascii="Times New Roman" w:hAnsi="Times New Roman" w:cs="Times New Roman"/>
          <w:smallCaps/>
        </w:rPr>
        <w:t xml:space="preserve"> Sen, Commodities and Capabilities</w:t>
      </w:r>
      <w:r>
        <w:rPr>
          <w:rFonts w:ascii="Times New Roman" w:hAnsi="Times New Roman" w:cs="Times New Roman"/>
        </w:rPr>
        <w:t xml:space="preserve"> 6-7</w:t>
      </w:r>
      <w:r>
        <w:rPr>
          <w:rFonts w:ascii="Times New Roman" w:hAnsi="Times New Roman" w:cs="Times New Roman"/>
          <w:smallCaps/>
        </w:rPr>
        <w:t xml:space="preserve"> </w:t>
      </w:r>
      <w:r w:rsidRPr="007B7682">
        <w:rPr>
          <w:rFonts w:ascii="Times New Roman" w:hAnsi="Times New Roman" w:cs="Times New Roman"/>
          <w:smallCaps/>
        </w:rPr>
        <w:t>(1985)</w:t>
      </w:r>
    </w:p>
  </w:footnote>
  <w:footnote w:id="34">
    <w:p w:rsidR="008B536B" w:rsidRPr="008B536B" w:rsidRDefault="008B536B">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 xml:space="preserve">See </w:t>
      </w:r>
      <w:proofErr w:type="spellStart"/>
      <w:r>
        <w:rPr>
          <w:rFonts w:ascii="Times New Roman" w:hAnsi="Times New Roman" w:cs="Times New Roman"/>
        </w:rPr>
        <w:t>Amartya</w:t>
      </w:r>
      <w:proofErr w:type="spellEnd"/>
      <w:r>
        <w:rPr>
          <w:rFonts w:ascii="Times New Roman" w:hAnsi="Times New Roman" w:cs="Times New Roman"/>
        </w:rPr>
        <w:t xml:space="preserve"> </w:t>
      </w:r>
      <w:r w:rsidRPr="008B536B">
        <w:rPr>
          <w:rFonts w:ascii="Times New Roman" w:hAnsi="Times New Roman" w:cs="Times New Roman"/>
        </w:rPr>
        <w:t>Sen,</w:t>
      </w:r>
      <w:r w:rsidRPr="008B536B">
        <w:rPr>
          <w:rFonts w:ascii="Times New Roman" w:hAnsi="Times New Roman" w:cs="Times New Roman"/>
          <w:i/>
        </w:rPr>
        <w:t xml:space="preserve"> </w:t>
      </w:r>
      <w:r>
        <w:rPr>
          <w:rFonts w:ascii="Times New Roman" w:hAnsi="Times New Roman" w:cs="Times New Roman"/>
          <w:i/>
        </w:rPr>
        <w:t>Well-Being, Agency and Freedom:</w:t>
      </w:r>
      <w:r>
        <w:t xml:space="preserve"> </w:t>
      </w:r>
      <w:r w:rsidRPr="008B536B">
        <w:rPr>
          <w:rFonts w:ascii="Times New Roman" w:hAnsi="Times New Roman" w:cs="Times New Roman"/>
          <w:i/>
        </w:rPr>
        <w:t>The Dewey Lectures</w:t>
      </w:r>
      <w:r w:rsidRPr="008B536B">
        <w:rPr>
          <w:rFonts w:ascii="Times New Roman" w:hAnsi="Times New Roman" w:cs="Times New Roman"/>
        </w:rPr>
        <w:t>, 82 J. P</w:t>
      </w:r>
      <w:r>
        <w:rPr>
          <w:rFonts w:ascii="Times New Roman" w:hAnsi="Times New Roman" w:cs="Times New Roman"/>
          <w:smallCaps/>
        </w:rPr>
        <w:t>hil.</w:t>
      </w:r>
      <w:r w:rsidRPr="008B536B">
        <w:rPr>
          <w:rFonts w:ascii="Times New Roman" w:hAnsi="Times New Roman" w:cs="Times New Roman"/>
        </w:rPr>
        <w:t xml:space="preserve"> 169</w:t>
      </w:r>
      <w:r>
        <w:rPr>
          <w:rFonts w:ascii="Times New Roman" w:hAnsi="Times New Roman" w:cs="Times New Roman"/>
        </w:rPr>
        <w:t>, 184</w:t>
      </w:r>
      <w:r w:rsidRPr="008B536B">
        <w:rPr>
          <w:rFonts w:ascii="Times New Roman" w:hAnsi="Times New Roman" w:cs="Times New Roman"/>
        </w:rPr>
        <w:t xml:space="preserve"> (1985).</w:t>
      </w:r>
      <w:r>
        <w:rPr>
          <w:rFonts w:ascii="Times New Roman" w:hAnsi="Times New Roman" w:cs="Times New Roman"/>
          <w:i/>
        </w:rPr>
        <w:t xml:space="preserve"> </w:t>
      </w:r>
      <w:r w:rsidRPr="008B536B">
        <w:rPr>
          <w:rFonts w:ascii="Times New Roman" w:hAnsi="Times New Roman" w:cs="Times New Roman"/>
        </w:rPr>
        <w:t xml:space="preserve">  </w:t>
      </w:r>
    </w:p>
  </w:footnote>
  <w:footnote w:id="35">
    <w:p w:rsidR="002121E1" w:rsidRPr="002121E1" w:rsidRDefault="002121E1">
      <w:pPr>
        <w:pStyle w:val="FootnoteText"/>
        <w:rPr>
          <w:rFonts w:ascii="Times New Roman" w:hAnsi="Times New Roman" w:cs="Times New Roman"/>
          <w:i/>
        </w:rPr>
      </w:pPr>
      <w:r>
        <w:rPr>
          <w:rStyle w:val="FootnoteReference"/>
        </w:rPr>
        <w:footnoteRef/>
      </w:r>
      <w:r>
        <w:t xml:space="preserve"> </w:t>
      </w:r>
      <w:r>
        <w:rPr>
          <w:rFonts w:ascii="Times New Roman" w:hAnsi="Times New Roman" w:cs="Times New Roman"/>
          <w:i/>
        </w:rPr>
        <w:t>Ibid.</w:t>
      </w:r>
    </w:p>
  </w:footnote>
  <w:footnote w:id="36">
    <w:p w:rsidR="000162AF" w:rsidRPr="000162AF" w:rsidRDefault="000162AF">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See</w:t>
      </w:r>
      <w:r>
        <w:rPr>
          <w:rFonts w:ascii="Times New Roman" w:hAnsi="Times New Roman" w:cs="Times New Roman"/>
        </w:rPr>
        <w:t xml:space="preserve"> Guido </w:t>
      </w:r>
      <w:proofErr w:type="spellStart"/>
      <w:r w:rsidR="00403C77">
        <w:rPr>
          <w:rFonts w:ascii="Times New Roman" w:hAnsi="Times New Roman" w:cs="Times New Roman"/>
        </w:rPr>
        <w:t>Calabresi</w:t>
      </w:r>
      <w:proofErr w:type="spellEnd"/>
      <w:r w:rsidR="00403C77">
        <w:rPr>
          <w:rFonts w:ascii="Times New Roman" w:hAnsi="Times New Roman" w:cs="Times New Roman"/>
        </w:rPr>
        <w:t xml:space="preserve"> &amp; A. Douglas </w:t>
      </w:r>
      <w:proofErr w:type="spellStart"/>
      <w:r w:rsidR="00403C77">
        <w:rPr>
          <w:rFonts w:ascii="Times New Roman" w:hAnsi="Times New Roman" w:cs="Times New Roman"/>
        </w:rPr>
        <w:t>Melamed</w:t>
      </w:r>
      <w:proofErr w:type="spellEnd"/>
      <w:r w:rsidR="00403C77">
        <w:rPr>
          <w:rFonts w:ascii="Times New Roman" w:hAnsi="Times New Roman" w:cs="Times New Roman"/>
        </w:rPr>
        <w:t xml:space="preserve">, </w:t>
      </w:r>
      <w:r w:rsidR="00403C77" w:rsidRPr="00403C77">
        <w:rPr>
          <w:rFonts w:ascii="Times New Roman" w:hAnsi="Times New Roman" w:cs="Times New Roman"/>
          <w:i/>
        </w:rPr>
        <w:t>Property Rules, Liability Rules and Inalienability: One View of the Cathedral</w:t>
      </w:r>
      <w:r w:rsidR="00403C77">
        <w:rPr>
          <w:rFonts w:ascii="Times New Roman" w:hAnsi="Times New Roman" w:cs="Times New Roman"/>
        </w:rPr>
        <w:t xml:space="preserve">, 85 </w:t>
      </w:r>
      <w:proofErr w:type="spellStart"/>
      <w:r w:rsidR="00403C77" w:rsidRPr="00403C77">
        <w:rPr>
          <w:rFonts w:ascii="Times New Roman" w:hAnsi="Times New Roman" w:cs="Times New Roman"/>
          <w:smallCaps/>
        </w:rPr>
        <w:t>Harv</w:t>
      </w:r>
      <w:proofErr w:type="spellEnd"/>
      <w:r w:rsidR="00403C77" w:rsidRPr="00403C77">
        <w:rPr>
          <w:rFonts w:ascii="Times New Roman" w:hAnsi="Times New Roman" w:cs="Times New Roman"/>
          <w:smallCaps/>
        </w:rPr>
        <w:t>. L. Rev</w:t>
      </w:r>
      <w:r w:rsidR="00403C77">
        <w:rPr>
          <w:rFonts w:ascii="Times New Roman" w:hAnsi="Times New Roman" w:cs="Times New Roman"/>
        </w:rPr>
        <w:t>. 1089 (1972).</w:t>
      </w:r>
    </w:p>
  </w:footnote>
  <w:footnote w:id="37">
    <w:p w:rsidR="00203BB4" w:rsidRPr="00203BB4" w:rsidRDefault="00203BB4">
      <w:pPr>
        <w:pStyle w:val="FootnoteText"/>
        <w:rPr>
          <w:rFonts w:ascii="Times New Roman" w:hAnsi="Times New Roman" w:cs="Times New Roman"/>
        </w:rPr>
      </w:pPr>
      <w:r>
        <w:rPr>
          <w:rStyle w:val="FootnoteReference"/>
        </w:rPr>
        <w:footnoteRef/>
      </w:r>
      <w:r>
        <w:t xml:space="preserve"> </w:t>
      </w:r>
      <w:r w:rsidRPr="00203BB4">
        <w:rPr>
          <w:rFonts w:ascii="Times New Roman" w:hAnsi="Times New Roman" w:cs="Times New Roman"/>
          <w:i/>
        </w:rPr>
        <w:t>See</w:t>
      </w:r>
      <w:r w:rsidRPr="00203BB4">
        <w:rPr>
          <w:rFonts w:ascii="Times New Roman" w:hAnsi="Times New Roman" w:cs="Times New Roman"/>
        </w:rPr>
        <w:t xml:space="preserve"> Carol M. Rose, </w:t>
      </w:r>
      <w:r w:rsidRPr="00203BB4">
        <w:rPr>
          <w:rFonts w:ascii="Times New Roman" w:hAnsi="Times New Roman" w:cs="Times New Roman"/>
          <w:i/>
        </w:rPr>
        <w:t xml:space="preserve">Property As the </w:t>
      </w:r>
      <w:r w:rsidRPr="002B283E">
        <w:rPr>
          <w:rFonts w:ascii="Times New Roman" w:hAnsi="Times New Roman" w:cs="Times New Roman"/>
        </w:rPr>
        <w:t>Keystone</w:t>
      </w:r>
      <w:r w:rsidRPr="00203BB4">
        <w:rPr>
          <w:rFonts w:ascii="Times New Roman" w:hAnsi="Times New Roman" w:cs="Times New Roman"/>
          <w:i/>
        </w:rPr>
        <w:t xml:space="preserve"> Right</w:t>
      </w:r>
      <w:proofErr w:type="gramStart"/>
      <w:r w:rsidRPr="00203BB4">
        <w:rPr>
          <w:rFonts w:ascii="Times New Roman" w:hAnsi="Times New Roman" w:cs="Times New Roman"/>
          <w:i/>
        </w:rPr>
        <w:t>?</w:t>
      </w:r>
      <w:r w:rsidRPr="00203BB4">
        <w:rPr>
          <w:rFonts w:ascii="Times New Roman" w:hAnsi="Times New Roman" w:cs="Times New Roman"/>
        </w:rPr>
        <w:t>,</w:t>
      </w:r>
      <w:proofErr w:type="gramEnd"/>
      <w:r w:rsidRPr="00203BB4">
        <w:rPr>
          <w:rFonts w:ascii="Times New Roman" w:hAnsi="Times New Roman" w:cs="Times New Roman"/>
        </w:rPr>
        <w:t xml:space="preserve"> 71 </w:t>
      </w:r>
      <w:r w:rsidRPr="00203BB4">
        <w:rPr>
          <w:rFonts w:ascii="Times New Roman" w:hAnsi="Times New Roman" w:cs="Times New Roman"/>
          <w:smallCaps/>
        </w:rPr>
        <w:t>Notre Dame L. Rev</w:t>
      </w:r>
      <w:r w:rsidRPr="00203BB4">
        <w:rPr>
          <w:rFonts w:ascii="Times New Roman" w:hAnsi="Times New Roman" w:cs="Times New Roman"/>
        </w:rPr>
        <w:t>. 329, 345-348 (1996).</w:t>
      </w:r>
    </w:p>
  </w:footnote>
  <w:footnote w:id="38">
    <w:p w:rsidR="000775F4" w:rsidRPr="000775F4" w:rsidRDefault="000775F4">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 xml:space="preserve">See </w:t>
      </w:r>
      <w:r>
        <w:rPr>
          <w:rFonts w:ascii="Times New Roman" w:hAnsi="Times New Roman" w:cs="Times New Roman"/>
        </w:rPr>
        <w:t xml:space="preserve">Carol M. Rose, </w:t>
      </w:r>
      <w:r w:rsidRPr="00095739">
        <w:rPr>
          <w:rFonts w:ascii="Times New Roman" w:hAnsi="Times New Roman" w:cs="Times New Roman"/>
          <w:i/>
        </w:rPr>
        <w:t>Book Review</w:t>
      </w:r>
      <w:r>
        <w:rPr>
          <w:rFonts w:ascii="Times New Roman" w:hAnsi="Times New Roman" w:cs="Times New Roman"/>
        </w:rPr>
        <w:t xml:space="preserve"> (reviewing </w:t>
      </w:r>
      <w:r w:rsidRPr="00095739">
        <w:rPr>
          <w:rFonts w:ascii="Times New Roman" w:hAnsi="Times New Roman" w:cs="Times New Roman"/>
          <w:smallCaps/>
        </w:rPr>
        <w:t>James W. Ely, Jr., The Guardian of Every Other Right</w:t>
      </w:r>
      <w:r>
        <w:rPr>
          <w:rFonts w:ascii="Times New Roman" w:hAnsi="Times New Roman" w:cs="Times New Roman"/>
        </w:rPr>
        <w:t xml:space="preserve">), 10 </w:t>
      </w:r>
      <w:r w:rsidRPr="00095739">
        <w:rPr>
          <w:rFonts w:ascii="Times New Roman" w:hAnsi="Times New Roman" w:cs="Times New Roman"/>
          <w:smallCaps/>
        </w:rPr>
        <w:t>Const. Comm</w:t>
      </w:r>
      <w:r>
        <w:rPr>
          <w:rFonts w:ascii="Times New Roman" w:hAnsi="Times New Roman" w:cs="Times New Roman"/>
        </w:rPr>
        <w:t>. 238, 240 (1993).</w:t>
      </w:r>
    </w:p>
  </w:footnote>
  <w:footnote w:id="39">
    <w:p w:rsidR="00222977" w:rsidRDefault="00222977">
      <w:pPr>
        <w:pStyle w:val="FootnoteText"/>
      </w:pPr>
      <w:r>
        <w:rPr>
          <w:rStyle w:val="FootnoteReference"/>
        </w:rPr>
        <w:footnoteRef/>
      </w:r>
      <w:r>
        <w:t xml:space="preserve"> </w:t>
      </w:r>
      <w:r w:rsidRPr="00222977">
        <w:rPr>
          <w:rFonts w:ascii="Times New Roman" w:hAnsi="Times New Roman" w:cs="Times New Roman"/>
          <w:smallCaps/>
        </w:rPr>
        <w:t>Jeremy</w:t>
      </w:r>
      <w:r>
        <w:t xml:space="preserve"> </w:t>
      </w:r>
      <w:r w:rsidRPr="000A0522">
        <w:rPr>
          <w:rFonts w:ascii="Times New Roman" w:hAnsi="Times New Roman" w:cs="Times New Roman"/>
          <w:smallCaps/>
        </w:rPr>
        <w:t>Waldron, The Right to Private Property</w:t>
      </w:r>
      <w:r>
        <w:rPr>
          <w:rFonts w:ascii="Times New Roman" w:hAnsi="Times New Roman" w:cs="Times New Roman"/>
          <w:smallCaps/>
        </w:rPr>
        <w:t xml:space="preserve"> (</w:t>
      </w:r>
      <w:r w:rsidRPr="00222977">
        <w:rPr>
          <w:rFonts w:ascii="Times New Roman" w:hAnsi="Times New Roman" w:cs="Times New Roman"/>
        </w:rPr>
        <w:t>Oxford</w:t>
      </w:r>
      <w:r>
        <w:rPr>
          <w:rFonts w:ascii="Times New Roman" w:hAnsi="Times New Roman" w:cs="Times New Roman"/>
          <w:smallCaps/>
        </w:rPr>
        <w:t xml:space="preserve"> </w:t>
      </w:r>
      <w:r>
        <w:rPr>
          <w:rFonts w:ascii="Times New Roman" w:hAnsi="Times New Roman" w:cs="Times New Roman"/>
        </w:rPr>
        <w:t>1988), p. 96.</w:t>
      </w:r>
    </w:p>
  </w:footnote>
  <w:footnote w:id="40">
    <w:p w:rsidR="00C03F33" w:rsidRPr="00C03F33" w:rsidRDefault="00C03F33">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 xml:space="preserve">See </w:t>
      </w:r>
      <w:r w:rsidRPr="00EF12A1">
        <w:rPr>
          <w:rFonts w:ascii="Times New Roman" w:hAnsi="Times New Roman" w:cs="Times New Roman"/>
          <w:smallCaps/>
        </w:rPr>
        <w:t xml:space="preserve">Margaret Jane </w:t>
      </w:r>
      <w:proofErr w:type="spellStart"/>
      <w:r w:rsidRPr="00EF12A1">
        <w:rPr>
          <w:rFonts w:ascii="Times New Roman" w:hAnsi="Times New Roman" w:cs="Times New Roman"/>
          <w:smallCaps/>
        </w:rPr>
        <w:t>Radin</w:t>
      </w:r>
      <w:proofErr w:type="spellEnd"/>
      <w:r w:rsidRPr="00EF12A1">
        <w:rPr>
          <w:rFonts w:ascii="Times New Roman" w:hAnsi="Times New Roman" w:cs="Times New Roman"/>
          <w:smallCaps/>
        </w:rPr>
        <w:t>, Reinterpreting Property</w:t>
      </w:r>
      <w:r>
        <w:rPr>
          <w:rFonts w:ascii="Times New Roman" w:hAnsi="Times New Roman" w:cs="Times New Roman"/>
        </w:rPr>
        <w:t xml:space="preserve"> (Chicago 1993), pp. 56-57.</w:t>
      </w:r>
    </w:p>
  </w:footnote>
  <w:footnote w:id="41">
    <w:p w:rsidR="00430E87" w:rsidRPr="00430E87" w:rsidRDefault="00430E87">
      <w:pPr>
        <w:pStyle w:val="FootnoteText"/>
        <w:rPr>
          <w:rFonts w:ascii="Times New Roman" w:hAnsi="Times New Roman" w:cs="Times New Roman"/>
        </w:rPr>
      </w:pPr>
      <w:r>
        <w:rPr>
          <w:rStyle w:val="FootnoteReference"/>
        </w:rPr>
        <w:footnoteRef/>
      </w:r>
      <w:r>
        <w:t xml:space="preserve"> </w:t>
      </w:r>
      <w:r w:rsidRPr="00500CB2">
        <w:rPr>
          <w:rFonts w:ascii="Times New Roman" w:hAnsi="Times New Roman" w:cs="Times New Roman"/>
          <w:smallCaps/>
        </w:rPr>
        <w:t xml:space="preserve">Alan </w:t>
      </w:r>
      <w:proofErr w:type="spellStart"/>
      <w:r w:rsidRPr="00500CB2">
        <w:rPr>
          <w:rFonts w:ascii="Times New Roman" w:hAnsi="Times New Roman" w:cs="Times New Roman"/>
          <w:smallCaps/>
        </w:rPr>
        <w:t>Brudner</w:t>
      </w:r>
      <w:proofErr w:type="spellEnd"/>
      <w:r w:rsidRPr="00500CB2">
        <w:rPr>
          <w:rFonts w:ascii="Times New Roman" w:hAnsi="Times New Roman" w:cs="Times New Roman"/>
          <w:smallCaps/>
        </w:rPr>
        <w:t>, The Unity of the Common Law</w:t>
      </w:r>
      <w:r>
        <w:rPr>
          <w:rFonts w:ascii="Times New Roman" w:hAnsi="Times New Roman" w:cs="Times New Roman"/>
          <w:smallCaps/>
        </w:rPr>
        <w:t>: Studies in Hegelian Jurisprudence</w:t>
      </w:r>
      <w:r>
        <w:rPr>
          <w:rFonts w:ascii="Times New Roman" w:hAnsi="Times New Roman" w:cs="Times New Roman"/>
        </w:rPr>
        <w:t xml:space="preserve"> (Berkeley, CA, 1995), p. 98. </w:t>
      </w:r>
    </w:p>
  </w:footnote>
  <w:footnote w:id="42">
    <w:p w:rsidR="00B069A0" w:rsidRPr="00B069A0" w:rsidRDefault="00B069A0">
      <w:pPr>
        <w:pStyle w:val="FootnoteText"/>
        <w:rPr>
          <w:rFonts w:ascii="Times New Roman" w:hAnsi="Times New Roman" w:cs="Times New Roman"/>
        </w:rPr>
      </w:pPr>
      <w:r>
        <w:rPr>
          <w:rStyle w:val="FootnoteReference"/>
        </w:rPr>
        <w:footnoteRef/>
      </w:r>
      <w:r>
        <w:t xml:space="preserve"> </w:t>
      </w:r>
      <w:proofErr w:type="gramStart"/>
      <w:r>
        <w:rPr>
          <w:rFonts w:ascii="Times New Roman" w:hAnsi="Times New Roman" w:cs="Times New Roman"/>
        </w:rPr>
        <w:t xml:space="preserve">Dudley Knowles, </w:t>
      </w:r>
      <w:r w:rsidRPr="00577E53">
        <w:rPr>
          <w:rFonts w:ascii="Times New Roman" w:hAnsi="Times New Roman" w:cs="Times New Roman"/>
          <w:i/>
        </w:rPr>
        <w:t>Hegel on Property and Personality</w:t>
      </w:r>
      <w:r>
        <w:rPr>
          <w:rFonts w:ascii="Times New Roman" w:hAnsi="Times New Roman" w:cs="Times New Roman"/>
        </w:rPr>
        <w:t xml:space="preserve">, 33 </w:t>
      </w:r>
      <w:r w:rsidRPr="00577E53">
        <w:rPr>
          <w:rFonts w:ascii="Times New Roman" w:hAnsi="Times New Roman" w:cs="Times New Roman"/>
          <w:smallCaps/>
        </w:rPr>
        <w:t>Phil. Q.</w:t>
      </w:r>
      <w:r>
        <w:rPr>
          <w:rFonts w:ascii="Times New Roman" w:hAnsi="Times New Roman" w:cs="Times New Roman"/>
        </w:rPr>
        <w:t xml:space="preserve"> 45, 54 (1983).</w:t>
      </w:r>
      <w:proofErr w:type="gramEnd"/>
    </w:p>
  </w:footnote>
  <w:footnote w:id="43">
    <w:p w:rsidR="0073511D" w:rsidRPr="0073511D" w:rsidRDefault="0073511D">
      <w:pPr>
        <w:pStyle w:val="FootnoteText"/>
        <w:rPr>
          <w:rFonts w:ascii="Times New Roman" w:hAnsi="Times New Roman" w:cs="Times New Roman"/>
        </w:rPr>
      </w:pPr>
      <w:r>
        <w:rPr>
          <w:rStyle w:val="FootnoteReference"/>
        </w:rPr>
        <w:footnoteRef/>
      </w:r>
      <w:r>
        <w:t xml:space="preserve"> </w:t>
      </w:r>
      <w:proofErr w:type="gramStart"/>
      <w:r>
        <w:rPr>
          <w:rFonts w:ascii="Times New Roman" w:hAnsi="Times New Roman" w:cs="Times New Roman"/>
          <w:i/>
        </w:rPr>
        <w:t>Id.</w:t>
      </w:r>
      <w:r>
        <w:rPr>
          <w:rFonts w:ascii="Times New Roman" w:hAnsi="Times New Roman" w:cs="Times New Roman"/>
        </w:rPr>
        <w:t xml:space="preserve"> at 57.</w:t>
      </w:r>
      <w:proofErr w:type="gramEnd"/>
    </w:p>
  </w:footnote>
  <w:footnote w:id="44">
    <w:p w:rsidR="0073511D" w:rsidRPr="0073511D" w:rsidRDefault="0073511D">
      <w:pPr>
        <w:pStyle w:val="FootnoteText"/>
        <w:rPr>
          <w:rFonts w:ascii="Times New Roman" w:hAnsi="Times New Roman" w:cs="Times New Roman"/>
          <w:i/>
        </w:rPr>
      </w:pPr>
      <w:r>
        <w:rPr>
          <w:rStyle w:val="FootnoteReference"/>
        </w:rPr>
        <w:footnoteRef/>
      </w:r>
      <w:r>
        <w:t xml:space="preserve"> </w:t>
      </w:r>
      <w:r>
        <w:rPr>
          <w:rFonts w:ascii="Times New Roman" w:hAnsi="Times New Roman" w:cs="Times New Roman"/>
          <w:i/>
        </w:rPr>
        <w:t>Ibid.</w:t>
      </w:r>
    </w:p>
  </w:footnote>
  <w:footnote w:id="45">
    <w:p w:rsidR="003C6C6B" w:rsidRPr="003C6C6B" w:rsidRDefault="003C6C6B">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See</w:t>
      </w:r>
      <w:r>
        <w:rPr>
          <w:rFonts w:ascii="Times New Roman" w:hAnsi="Times New Roman" w:cs="Times New Roman"/>
        </w:rPr>
        <w:t xml:space="preserve"> </w:t>
      </w:r>
      <w:r w:rsidRPr="002B6D39">
        <w:rPr>
          <w:rFonts w:ascii="Times New Roman" w:hAnsi="Times New Roman" w:cs="Times New Roman"/>
          <w:smallCaps/>
        </w:rPr>
        <w:t>Carol M. Rose, Property &amp; Persuasion</w:t>
      </w:r>
      <w:r>
        <w:rPr>
          <w:rFonts w:ascii="Times New Roman" w:hAnsi="Times New Roman" w:cs="Times New Roman"/>
        </w:rPr>
        <w:t xml:space="preserve"> (</w:t>
      </w:r>
      <w:r w:rsidR="00153967">
        <w:rPr>
          <w:rFonts w:ascii="Times New Roman" w:hAnsi="Times New Roman" w:cs="Times New Roman"/>
        </w:rPr>
        <w:t xml:space="preserve">Boulder, CO, </w:t>
      </w:r>
      <w:r>
        <w:rPr>
          <w:rFonts w:ascii="Times New Roman" w:hAnsi="Times New Roman" w:cs="Times New Roman"/>
        </w:rPr>
        <w:t>1994), p. 14.</w:t>
      </w:r>
    </w:p>
  </w:footnote>
  <w:footnote w:id="46">
    <w:p w:rsidR="003C6C6B" w:rsidRPr="003C6C6B" w:rsidRDefault="003C6C6B">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 xml:space="preserve">Id., </w:t>
      </w:r>
      <w:r>
        <w:rPr>
          <w:rFonts w:ascii="Times New Roman" w:hAnsi="Times New Roman" w:cs="Times New Roman"/>
        </w:rPr>
        <w:t>p. 16.</w:t>
      </w:r>
    </w:p>
  </w:footnote>
  <w:footnote w:id="47">
    <w:p w:rsidR="006266F4" w:rsidRPr="00A47A3A" w:rsidRDefault="006266F4">
      <w:pPr>
        <w:pStyle w:val="FootnoteText"/>
        <w:rPr>
          <w:rFonts w:ascii="Times New Roman" w:hAnsi="Times New Roman" w:cs="Times New Roman"/>
        </w:rPr>
      </w:pPr>
      <w:r>
        <w:rPr>
          <w:rStyle w:val="FootnoteReference"/>
        </w:rPr>
        <w:footnoteRef/>
      </w:r>
      <w:r>
        <w:t xml:space="preserve"> </w:t>
      </w:r>
      <w:r w:rsidR="00A47A3A">
        <w:rPr>
          <w:rFonts w:ascii="Times New Roman" w:hAnsi="Times New Roman" w:cs="Times New Roman"/>
          <w:i/>
        </w:rPr>
        <w:t xml:space="preserve">See </w:t>
      </w:r>
      <w:r w:rsidR="00A47A3A" w:rsidRPr="00BD2A81">
        <w:rPr>
          <w:rFonts w:ascii="Times New Roman" w:hAnsi="Times New Roman" w:cs="Times New Roman"/>
          <w:smallCaps/>
        </w:rPr>
        <w:t>Waldron, The Right to Private Property</w:t>
      </w:r>
      <w:r w:rsidR="00A47A3A">
        <w:rPr>
          <w:rFonts w:ascii="Times New Roman" w:hAnsi="Times New Roman" w:cs="Times New Roman"/>
        </w:rPr>
        <w:t xml:space="preserve">, </w:t>
      </w:r>
      <w:r w:rsidR="00A47A3A" w:rsidRPr="00261E72">
        <w:rPr>
          <w:rFonts w:ascii="Times New Roman" w:hAnsi="Times New Roman" w:cs="Times New Roman"/>
          <w:i/>
        </w:rPr>
        <w:t>supra</w:t>
      </w:r>
      <w:r w:rsidR="00A47A3A">
        <w:rPr>
          <w:rFonts w:ascii="Times New Roman" w:hAnsi="Times New Roman" w:cs="Times New Roman"/>
          <w:i/>
        </w:rPr>
        <w:t xml:space="preserve">, </w:t>
      </w:r>
      <w:r w:rsidR="00A47A3A">
        <w:rPr>
          <w:rFonts w:ascii="Times New Roman" w:hAnsi="Times New Roman" w:cs="Times New Roman"/>
        </w:rPr>
        <w:t>pp. 310-313.</w:t>
      </w:r>
    </w:p>
  </w:footnote>
  <w:footnote w:id="48">
    <w:p w:rsidR="006E00C1" w:rsidRPr="006E00C1" w:rsidRDefault="006E00C1">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See id</w:t>
      </w:r>
      <w:r>
        <w:rPr>
          <w:rFonts w:ascii="Times New Roman" w:hAnsi="Times New Roman" w:cs="Times New Roman"/>
        </w:rPr>
        <w:t>., p. 308.</w:t>
      </w:r>
    </w:p>
  </w:footnote>
  <w:footnote w:id="49">
    <w:p w:rsidR="00F64E68" w:rsidRPr="00F64E68" w:rsidRDefault="00F64E68">
      <w:pPr>
        <w:pStyle w:val="FootnoteText"/>
        <w:rPr>
          <w:rFonts w:ascii="Times New Roman" w:hAnsi="Times New Roman" w:cs="Times New Roman"/>
        </w:rPr>
      </w:pPr>
      <w:r>
        <w:rPr>
          <w:rStyle w:val="FootnoteReference"/>
        </w:rPr>
        <w:footnoteRef/>
      </w:r>
      <w:r>
        <w:t xml:space="preserve"> </w:t>
      </w:r>
      <w:r w:rsidRPr="000E5A22">
        <w:rPr>
          <w:rFonts w:ascii="Times New Roman" w:hAnsi="Times New Roman" w:cs="Times New Roman"/>
          <w:smallCaps/>
        </w:rPr>
        <w:t>T.H. Green, Lectures on the Principles of Political Obligation</w:t>
      </w:r>
      <w:r>
        <w:rPr>
          <w:rFonts w:ascii="Times New Roman" w:hAnsi="Times New Roman" w:cs="Times New Roman"/>
        </w:rPr>
        <w:t xml:space="preserve"> (orig. pub. 1882; 1967), p. 7.</w:t>
      </w:r>
    </w:p>
  </w:footnote>
  <w:footnote w:id="50">
    <w:p w:rsidR="00253033" w:rsidRPr="00253033" w:rsidRDefault="00253033">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See</w:t>
      </w:r>
      <w:r>
        <w:rPr>
          <w:rFonts w:ascii="Times New Roman" w:hAnsi="Times New Roman" w:cs="Times New Roman"/>
        </w:rPr>
        <w:t xml:space="preserve"> Peter W. </w:t>
      </w:r>
      <w:proofErr w:type="spellStart"/>
      <w:r>
        <w:rPr>
          <w:rFonts w:ascii="Times New Roman" w:hAnsi="Times New Roman" w:cs="Times New Roman"/>
        </w:rPr>
        <w:t>Salsich</w:t>
      </w:r>
      <w:proofErr w:type="spellEnd"/>
      <w:r>
        <w:rPr>
          <w:rFonts w:ascii="Times New Roman" w:hAnsi="Times New Roman" w:cs="Times New Roman"/>
        </w:rPr>
        <w:t xml:space="preserve">, Jr., </w:t>
      </w:r>
      <w:r w:rsidRPr="00136A7F">
        <w:rPr>
          <w:rFonts w:ascii="Times New Roman" w:hAnsi="Times New Roman" w:cs="Times New Roman"/>
          <w:i/>
        </w:rPr>
        <w:t>Toward a Property Ethic of Stewardship: A Religious Perspective</w:t>
      </w:r>
      <w:r>
        <w:rPr>
          <w:rFonts w:ascii="Times New Roman" w:hAnsi="Times New Roman" w:cs="Times New Roman"/>
        </w:rPr>
        <w:t xml:space="preserve">, in </w:t>
      </w:r>
      <w:r w:rsidRPr="00136A7F">
        <w:rPr>
          <w:rFonts w:ascii="Times New Roman" w:hAnsi="Times New Roman" w:cs="Times New Roman"/>
          <w:smallCaps/>
        </w:rPr>
        <w:t>Property and Values: Alternatives to Public and Private Ownership</w:t>
      </w:r>
      <w:r>
        <w:rPr>
          <w:rFonts w:ascii="Times New Roman" w:hAnsi="Times New Roman" w:cs="Times New Roman"/>
        </w:rPr>
        <w:t xml:space="preserve">, Charles Geisler and Gail </w:t>
      </w:r>
      <w:proofErr w:type="spellStart"/>
      <w:r>
        <w:rPr>
          <w:rFonts w:ascii="Times New Roman" w:hAnsi="Times New Roman" w:cs="Times New Roman"/>
        </w:rPr>
        <w:t>Daneker</w:t>
      </w:r>
      <w:proofErr w:type="spellEnd"/>
      <w:r>
        <w:rPr>
          <w:rFonts w:ascii="Times New Roman" w:hAnsi="Times New Roman" w:cs="Times New Roman"/>
        </w:rPr>
        <w:t xml:space="preserve"> eds. (Washington, D.C., 2000), p. 21.</w:t>
      </w:r>
    </w:p>
  </w:footnote>
  <w:footnote w:id="51">
    <w:p w:rsidR="00C2245C" w:rsidRPr="00C2245C" w:rsidRDefault="00C2245C">
      <w:pPr>
        <w:pStyle w:val="FootnoteText"/>
        <w:rPr>
          <w:rFonts w:ascii="Times New Roman" w:hAnsi="Times New Roman" w:cs="Times New Roman"/>
        </w:rPr>
      </w:pPr>
      <w:r>
        <w:rPr>
          <w:rStyle w:val="FootnoteReference"/>
        </w:rPr>
        <w:footnoteRef/>
      </w:r>
      <w:r>
        <w:t xml:space="preserve"> </w:t>
      </w:r>
      <w:r w:rsidRPr="00097B69">
        <w:rPr>
          <w:rFonts w:ascii="Times New Roman" w:hAnsi="Times New Roman" w:cs="Times New Roman"/>
          <w:i/>
        </w:rPr>
        <w:t>See generally</w:t>
      </w:r>
      <w:r>
        <w:rPr>
          <w:rFonts w:ascii="Times New Roman" w:hAnsi="Times New Roman" w:cs="Times New Roman"/>
        </w:rPr>
        <w:t xml:space="preserve"> M.C. </w:t>
      </w:r>
      <w:proofErr w:type="spellStart"/>
      <w:r>
        <w:rPr>
          <w:rFonts w:ascii="Times New Roman" w:hAnsi="Times New Roman" w:cs="Times New Roman"/>
        </w:rPr>
        <w:t>Mirow</w:t>
      </w:r>
      <w:proofErr w:type="spellEnd"/>
      <w:r>
        <w:rPr>
          <w:rFonts w:ascii="Times New Roman" w:hAnsi="Times New Roman" w:cs="Times New Roman"/>
        </w:rPr>
        <w:t xml:space="preserve">, </w:t>
      </w:r>
      <w:r w:rsidRPr="00097B69">
        <w:rPr>
          <w:rFonts w:ascii="Times New Roman" w:hAnsi="Times New Roman" w:cs="Times New Roman"/>
          <w:i/>
        </w:rPr>
        <w:t xml:space="preserve">The Social-Obligation Norm of Property: </w:t>
      </w:r>
      <w:proofErr w:type="spellStart"/>
      <w:r w:rsidRPr="00097B69">
        <w:rPr>
          <w:rFonts w:ascii="Times New Roman" w:hAnsi="Times New Roman" w:cs="Times New Roman"/>
          <w:i/>
        </w:rPr>
        <w:t>Duguit</w:t>
      </w:r>
      <w:proofErr w:type="spellEnd"/>
      <w:r w:rsidRPr="00097B69">
        <w:rPr>
          <w:rFonts w:ascii="Times New Roman" w:hAnsi="Times New Roman" w:cs="Times New Roman"/>
          <w:i/>
        </w:rPr>
        <w:t xml:space="preserve">, </w:t>
      </w:r>
      <w:proofErr w:type="spellStart"/>
      <w:r w:rsidRPr="00097B69">
        <w:rPr>
          <w:rFonts w:ascii="Times New Roman" w:hAnsi="Times New Roman" w:cs="Times New Roman"/>
          <w:i/>
        </w:rPr>
        <w:t>Hayem</w:t>
      </w:r>
      <w:proofErr w:type="spellEnd"/>
      <w:r w:rsidRPr="00097B69">
        <w:rPr>
          <w:rFonts w:ascii="Times New Roman" w:hAnsi="Times New Roman" w:cs="Times New Roman"/>
          <w:i/>
        </w:rPr>
        <w:t>, and Others</w:t>
      </w:r>
      <w:r>
        <w:rPr>
          <w:rFonts w:ascii="Times New Roman" w:hAnsi="Times New Roman" w:cs="Times New Roman"/>
        </w:rPr>
        <w:t xml:space="preserve">, 22 </w:t>
      </w:r>
      <w:r w:rsidRPr="00097B69">
        <w:rPr>
          <w:rFonts w:ascii="Times New Roman" w:hAnsi="Times New Roman" w:cs="Times New Roman"/>
          <w:smallCaps/>
        </w:rPr>
        <w:t xml:space="preserve">Fla. </w:t>
      </w:r>
      <w:proofErr w:type="gramStart"/>
      <w:r w:rsidRPr="00097B69">
        <w:rPr>
          <w:rFonts w:ascii="Times New Roman" w:hAnsi="Times New Roman" w:cs="Times New Roman"/>
          <w:smallCaps/>
        </w:rPr>
        <w:t>J. Int’l L.</w:t>
      </w:r>
      <w:r>
        <w:rPr>
          <w:rFonts w:ascii="Times New Roman" w:hAnsi="Times New Roman" w:cs="Times New Roman"/>
        </w:rPr>
        <w:t xml:space="preserve"> 191 (2010).</w:t>
      </w:r>
      <w:proofErr w:type="gramEnd"/>
    </w:p>
  </w:footnote>
  <w:footnote w:id="52">
    <w:p w:rsidR="006D526C" w:rsidRPr="006D526C" w:rsidRDefault="006D526C">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 xml:space="preserve">See </w:t>
      </w:r>
      <w:r w:rsidRPr="002D74A2">
        <w:rPr>
          <w:rFonts w:ascii="Times New Roman" w:hAnsi="Times New Roman" w:cs="Times New Roman"/>
          <w:smallCaps/>
        </w:rPr>
        <w:t xml:space="preserve">Ugo </w:t>
      </w:r>
      <w:proofErr w:type="spellStart"/>
      <w:r w:rsidRPr="002D74A2">
        <w:rPr>
          <w:rFonts w:ascii="Times New Roman" w:hAnsi="Times New Roman" w:cs="Times New Roman"/>
          <w:smallCaps/>
        </w:rPr>
        <w:t>Mattei</w:t>
      </w:r>
      <w:proofErr w:type="spellEnd"/>
      <w:r w:rsidRPr="002D74A2">
        <w:rPr>
          <w:rFonts w:ascii="Times New Roman" w:hAnsi="Times New Roman" w:cs="Times New Roman"/>
          <w:smallCaps/>
        </w:rPr>
        <w:t>, Basic Principles of Property Law: A Comparative Legal and Economic Introduction</w:t>
      </w:r>
      <w:r>
        <w:rPr>
          <w:rFonts w:ascii="Times New Roman" w:hAnsi="Times New Roman" w:cs="Times New Roman"/>
        </w:rPr>
        <w:t xml:space="preserve"> (2000), p. 31.</w:t>
      </w:r>
    </w:p>
  </w:footnote>
  <w:footnote w:id="53">
    <w:p w:rsidR="008171A5" w:rsidRPr="008171A5" w:rsidRDefault="008171A5">
      <w:pPr>
        <w:pStyle w:val="FootnoteText"/>
        <w:rPr>
          <w:rFonts w:ascii="Times New Roman" w:hAnsi="Times New Roman" w:cs="Times New Roman"/>
        </w:rPr>
      </w:pPr>
      <w:r>
        <w:rPr>
          <w:rStyle w:val="FootnoteReference"/>
        </w:rPr>
        <w:footnoteRef/>
      </w:r>
      <w:r>
        <w:t xml:space="preserve"> </w:t>
      </w:r>
      <w:r w:rsidRPr="00F51325">
        <w:rPr>
          <w:rFonts w:ascii="Times New Roman" w:hAnsi="Times New Roman" w:cs="Times New Roman"/>
          <w:i/>
        </w:rPr>
        <w:t>See</w:t>
      </w:r>
      <w:r>
        <w:rPr>
          <w:rFonts w:ascii="Times New Roman" w:hAnsi="Times New Roman" w:cs="Times New Roman"/>
        </w:rPr>
        <w:t xml:space="preserve"> Sheila R. Foster &amp; Daniel Bonilla, </w:t>
      </w:r>
      <w:proofErr w:type="gramStart"/>
      <w:r w:rsidRPr="00F51325">
        <w:rPr>
          <w:rFonts w:ascii="Times New Roman" w:hAnsi="Times New Roman" w:cs="Times New Roman"/>
          <w:i/>
        </w:rPr>
        <w:t>The</w:t>
      </w:r>
      <w:proofErr w:type="gramEnd"/>
      <w:r w:rsidRPr="00F51325">
        <w:rPr>
          <w:rFonts w:ascii="Times New Roman" w:hAnsi="Times New Roman" w:cs="Times New Roman"/>
          <w:i/>
        </w:rPr>
        <w:t xml:space="preserve"> Social Function of Property: A Comparative Perspective ― Introduction</w:t>
      </w:r>
      <w:r>
        <w:rPr>
          <w:rFonts w:ascii="Times New Roman" w:hAnsi="Times New Roman" w:cs="Times New Roman"/>
        </w:rPr>
        <w:t xml:space="preserve">, 80 </w:t>
      </w:r>
      <w:r w:rsidRPr="00F51325">
        <w:rPr>
          <w:rFonts w:ascii="Times New Roman" w:hAnsi="Times New Roman" w:cs="Times New Roman"/>
          <w:smallCaps/>
        </w:rPr>
        <w:t>Fordham L. Rev</w:t>
      </w:r>
      <w:r>
        <w:rPr>
          <w:rFonts w:ascii="Times New Roman" w:hAnsi="Times New Roman" w:cs="Times New Roman"/>
        </w:rPr>
        <w:t>. 1003, 1004 (2011).</w:t>
      </w:r>
    </w:p>
  </w:footnote>
  <w:footnote w:id="54">
    <w:p w:rsidR="004C0014" w:rsidRPr="004C0014" w:rsidRDefault="004C0014">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Id.</w:t>
      </w:r>
      <w:r>
        <w:rPr>
          <w:rFonts w:ascii="Times New Roman" w:hAnsi="Times New Roman" w:cs="Times New Roman"/>
        </w:rPr>
        <w:t>, p. 1004-05.</w:t>
      </w:r>
    </w:p>
  </w:footnote>
  <w:footnote w:id="55">
    <w:p w:rsidR="005170BF" w:rsidRPr="005170BF" w:rsidRDefault="005170BF">
      <w:pPr>
        <w:pStyle w:val="FootnoteText"/>
        <w:rPr>
          <w:rFonts w:ascii="Times New Roman" w:hAnsi="Times New Roman" w:cs="Times New Roman"/>
        </w:rPr>
      </w:pPr>
      <w:r>
        <w:rPr>
          <w:rStyle w:val="FootnoteReference"/>
        </w:rPr>
        <w:footnoteRef/>
      </w:r>
      <w:r>
        <w:t xml:space="preserve"> </w:t>
      </w:r>
      <w:proofErr w:type="gramStart"/>
      <w:r w:rsidRPr="00261791">
        <w:rPr>
          <w:rFonts w:ascii="Times New Roman" w:hAnsi="Times New Roman" w:cs="Times New Roman"/>
          <w:smallCaps/>
        </w:rPr>
        <w:t>Basic Law of the Federal Republic of Germany</w:t>
      </w:r>
      <w:r>
        <w:rPr>
          <w:rFonts w:ascii="Times New Roman" w:hAnsi="Times New Roman" w:cs="Times New Roman"/>
        </w:rPr>
        <w:t xml:space="preserve"> art.</w:t>
      </w:r>
      <w:proofErr w:type="gramEnd"/>
      <w:r>
        <w:rPr>
          <w:rFonts w:ascii="Times New Roman" w:hAnsi="Times New Roman" w:cs="Times New Roman"/>
        </w:rPr>
        <w:t xml:space="preserve"> 14(2): “Property entails obligations. Its use should also serve the public interest.”</w:t>
      </w:r>
    </w:p>
  </w:footnote>
  <w:footnote w:id="56">
    <w:p w:rsidR="005170BF" w:rsidRPr="005170BF" w:rsidRDefault="005170BF">
      <w:pPr>
        <w:pStyle w:val="FootnoteText"/>
        <w:rPr>
          <w:rFonts w:ascii="Times New Roman" w:hAnsi="Times New Roman" w:cs="Times New Roman"/>
        </w:rPr>
      </w:pPr>
      <w:r>
        <w:rPr>
          <w:rStyle w:val="FootnoteReference"/>
        </w:rPr>
        <w:footnoteRef/>
      </w:r>
      <w:r>
        <w:t xml:space="preserve"> </w:t>
      </w:r>
      <w:proofErr w:type="gramStart"/>
      <w:r w:rsidRPr="003C40D5">
        <w:rPr>
          <w:rFonts w:ascii="Times New Roman" w:hAnsi="Times New Roman" w:cs="Times New Roman"/>
          <w:smallCaps/>
        </w:rPr>
        <w:t xml:space="preserve">Andre Van der Walt, </w:t>
      </w:r>
      <w:r w:rsidRPr="003C40D5">
        <w:rPr>
          <w:rFonts w:ascii="Times New Roman" w:hAnsi="Times New Roman" w:cs="Times New Roman"/>
          <w:iCs/>
          <w:smallCaps/>
        </w:rPr>
        <w:t>Constitutional Property Clauses</w:t>
      </w:r>
      <w:r>
        <w:rPr>
          <w:rFonts w:ascii="Times New Roman" w:hAnsi="Times New Roman" w:cs="Times New Roman"/>
          <w:i/>
          <w:iCs/>
        </w:rPr>
        <w:t xml:space="preserve"> </w:t>
      </w:r>
      <w:r>
        <w:rPr>
          <w:rFonts w:ascii="Times New Roman" w:hAnsi="Times New Roman" w:cs="Times New Roman"/>
          <w:iCs/>
        </w:rPr>
        <w:t>(Cape Town, So.</w:t>
      </w:r>
      <w:proofErr w:type="gramEnd"/>
      <w:r>
        <w:rPr>
          <w:rFonts w:ascii="Times New Roman" w:hAnsi="Times New Roman" w:cs="Times New Roman"/>
          <w:iCs/>
        </w:rPr>
        <w:t xml:space="preserve"> </w:t>
      </w:r>
      <w:proofErr w:type="gramStart"/>
      <w:r>
        <w:rPr>
          <w:rFonts w:ascii="Times New Roman" w:hAnsi="Times New Roman" w:cs="Times New Roman"/>
          <w:iCs/>
        </w:rPr>
        <w:t>Africa, 1999),</w:t>
      </w:r>
      <w:r w:rsidRPr="005170BF">
        <w:rPr>
          <w:rFonts w:ascii="Times New Roman" w:hAnsi="Times New Roman" w:cs="Times New Roman"/>
        </w:rPr>
        <w:t xml:space="preserve"> p. 135 (citing sources).</w:t>
      </w:r>
      <w:proofErr w:type="gramEnd"/>
      <w:r w:rsidRPr="005170BF">
        <w:rPr>
          <w:rFonts w:ascii="Times New Roman" w:hAnsi="Times New Roman" w:cs="Times New Roman"/>
        </w:rPr>
        <w:t xml:space="preserve">  </w:t>
      </w:r>
      <w:r w:rsidRPr="003C40D5">
        <w:rPr>
          <w:rFonts w:ascii="Times New Roman" w:hAnsi="Times New Roman" w:cs="Times New Roman"/>
          <w:i/>
        </w:rPr>
        <w:t>See generally</w:t>
      </w:r>
      <w:r w:rsidRPr="005170BF">
        <w:rPr>
          <w:rFonts w:ascii="Times New Roman" w:hAnsi="Times New Roman" w:cs="Times New Roman"/>
        </w:rPr>
        <w:t xml:space="preserve"> </w:t>
      </w:r>
      <w:r w:rsidRPr="003C40D5">
        <w:rPr>
          <w:rFonts w:ascii="Times New Roman" w:hAnsi="Times New Roman" w:cs="Times New Roman"/>
          <w:smallCaps/>
        </w:rPr>
        <w:t>M</w:t>
      </w:r>
      <w:r w:rsidR="006D1795">
        <w:rPr>
          <w:rFonts w:ascii="Times New Roman" w:hAnsi="Times New Roman" w:cs="Times New Roman"/>
          <w:smallCaps/>
        </w:rPr>
        <w:t>artin</w:t>
      </w:r>
      <w:r w:rsidRPr="003C40D5">
        <w:rPr>
          <w:rFonts w:ascii="Times New Roman" w:hAnsi="Times New Roman" w:cs="Times New Roman"/>
          <w:smallCaps/>
        </w:rPr>
        <w:t xml:space="preserve"> </w:t>
      </w:r>
      <w:proofErr w:type="spellStart"/>
      <w:r w:rsidRPr="003C40D5">
        <w:rPr>
          <w:rFonts w:ascii="Times New Roman" w:hAnsi="Times New Roman" w:cs="Times New Roman"/>
          <w:smallCaps/>
        </w:rPr>
        <w:t>Thormann</w:t>
      </w:r>
      <w:proofErr w:type="spellEnd"/>
      <w:r w:rsidRPr="003C40D5">
        <w:rPr>
          <w:rFonts w:ascii="Times New Roman" w:hAnsi="Times New Roman" w:cs="Times New Roman"/>
          <w:smallCaps/>
        </w:rPr>
        <w:t xml:space="preserve">, </w:t>
      </w:r>
      <w:proofErr w:type="spellStart"/>
      <w:r w:rsidRPr="003C40D5">
        <w:rPr>
          <w:rFonts w:ascii="Times New Roman" w:hAnsi="Times New Roman" w:cs="Times New Roman"/>
          <w:iCs/>
          <w:smallCaps/>
        </w:rPr>
        <w:t>Abstufung</w:t>
      </w:r>
      <w:proofErr w:type="spellEnd"/>
      <w:r w:rsidRPr="003C40D5">
        <w:rPr>
          <w:rFonts w:ascii="Times New Roman" w:hAnsi="Times New Roman" w:cs="Times New Roman"/>
          <w:iCs/>
          <w:smallCaps/>
        </w:rPr>
        <w:t xml:space="preserve"> in der </w:t>
      </w:r>
      <w:proofErr w:type="spellStart"/>
      <w:r w:rsidRPr="003C40D5">
        <w:rPr>
          <w:rFonts w:ascii="Times New Roman" w:hAnsi="Times New Roman" w:cs="Times New Roman"/>
          <w:iCs/>
          <w:smallCaps/>
        </w:rPr>
        <w:t>Sozialbindung</w:t>
      </w:r>
      <w:proofErr w:type="spellEnd"/>
      <w:r w:rsidRPr="003C40D5">
        <w:rPr>
          <w:rFonts w:ascii="Times New Roman" w:hAnsi="Times New Roman" w:cs="Times New Roman"/>
          <w:iCs/>
          <w:smallCaps/>
        </w:rPr>
        <w:t xml:space="preserve"> des </w:t>
      </w:r>
      <w:proofErr w:type="spellStart"/>
      <w:r w:rsidRPr="003C40D5">
        <w:rPr>
          <w:rFonts w:ascii="Times New Roman" w:hAnsi="Times New Roman" w:cs="Times New Roman"/>
          <w:iCs/>
          <w:smallCaps/>
        </w:rPr>
        <w:t>Eigentums</w:t>
      </w:r>
      <w:proofErr w:type="spellEnd"/>
      <w:r w:rsidRPr="005170BF">
        <w:rPr>
          <w:rFonts w:ascii="Times New Roman" w:hAnsi="Times New Roman" w:cs="Times New Roman"/>
        </w:rPr>
        <w:t xml:space="preserve"> (Stuttgart, 1996), pp. 211-225.</w:t>
      </w:r>
    </w:p>
  </w:footnote>
  <w:footnote w:id="57">
    <w:p w:rsidR="00BF34E0" w:rsidRPr="00BF34E0" w:rsidRDefault="00BF34E0" w:rsidP="00BF34E0">
      <w:pPr>
        <w:spacing w:after="240"/>
        <w:ind w:firstLine="720"/>
        <w:rPr>
          <w:rFonts w:ascii="Times New Roman" w:hAnsi="Times New Roman" w:cs="Times New Roman"/>
          <w:sz w:val="20"/>
          <w:szCs w:val="20"/>
        </w:rPr>
      </w:pPr>
      <w:r>
        <w:rPr>
          <w:rStyle w:val="FootnoteReference"/>
        </w:rPr>
        <w:footnoteRef/>
      </w:r>
      <w:r>
        <w:t xml:space="preserve"> </w:t>
      </w:r>
      <w:r w:rsidRPr="00BF34E0">
        <w:rPr>
          <w:rFonts w:ascii="Times New Roman" w:hAnsi="Times New Roman" w:cs="Times New Roman"/>
          <w:smallCaps/>
          <w:sz w:val="20"/>
          <w:szCs w:val="20"/>
        </w:rPr>
        <w:t xml:space="preserve">Konrad </w:t>
      </w:r>
      <w:proofErr w:type="spellStart"/>
      <w:r w:rsidRPr="00BF34E0">
        <w:rPr>
          <w:rFonts w:ascii="Times New Roman" w:hAnsi="Times New Roman" w:cs="Times New Roman"/>
          <w:smallCaps/>
          <w:sz w:val="20"/>
          <w:szCs w:val="20"/>
        </w:rPr>
        <w:t>Hesse</w:t>
      </w:r>
      <w:proofErr w:type="spellEnd"/>
      <w:r w:rsidRPr="00BF34E0">
        <w:rPr>
          <w:rFonts w:ascii="Times New Roman" w:hAnsi="Times New Roman" w:cs="Times New Roman"/>
          <w:smallCaps/>
          <w:sz w:val="20"/>
          <w:szCs w:val="20"/>
        </w:rPr>
        <w:t xml:space="preserve">, </w:t>
      </w:r>
      <w:proofErr w:type="spellStart"/>
      <w:r w:rsidRPr="00BF34E0">
        <w:rPr>
          <w:rFonts w:ascii="Times New Roman" w:hAnsi="Times New Roman" w:cs="Times New Roman"/>
          <w:iCs/>
          <w:smallCaps/>
          <w:sz w:val="20"/>
          <w:szCs w:val="20"/>
        </w:rPr>
        <w:t>Grundzüge</w:t>
      </w:r>
      <w:proofErr w:type="spellEnd"/>
      <w:r w:rsidRPr="00BF34E0">
        <w:rPr>
          <w:rFonts w:ascii="Times New Roman" w:hAnsi="Times New Roman" w:cs="Times New Roman"/>
          <w:iCs/>
          <w:smallCaps/>
          <w:sz w:val="20"/>
          <w:szCs w:val="20"/>
        </w:rPr>
        <w:t xml:space="preserve"> des </w:t>
      </w:r>
      <w:proofErr w:type="spellStart"/>
      <w:r w:rsidRPr="00BF34E0">
        <w:rPr>
          <w:rFonts w:ascii="Times New Roman" w:hAnsi="Times New Roman" w:cs="Times New Roman"/>
          <w:iCs/>
          <w:smallCaps/>
          <w:sz w:val="20"/>
          <w:szCs w:val="20"/>
        </w:rPr>
        <w:t>Verfassungsrechts</w:t>
      </w:r>
      <w:proofErr w:type="spellEnd"/>
      <w:r w:rsidRPr="00BF34E0">
        <w:rPr>
          <w:rFonts w:ascii="Times New Roman" w:hAnsi="Times New Roman" w:cs="Times New Roman"/>
          <w:iCs/>
          <w:smallCaps/>
          <w:sz w:val="20"/>
          <w:szCs w:val="20"/>
        </w:rPr>
        <w:t xml:space="preserve"> der </w:t>
      </w:r>
      <w:proofErr w:type="spellStart"/>
      <w:r w:rsidRPr="00BF34E0">
        <w:rPr>
          <w:rFonts w:ascii="Times New Roman" w:hAnsi="Times New Roman" w:cs="Times New Roman"/>
          <w:iCs/>
          <w:smallCaps/>
          <w:sz w:val="20"/>
          <w:szCs w:val="20"/>
        </w:rPr>
        <w:t>Bundesrepublik</w:t>
      </w:r>
      <w:proofErr w:type="spellEnd"/>
      <w:r w:rsidRPr="00BF34E0">
        <w:rPr>
          <w:rFonts w:ascii="Times New Roman" w:hAnsi="Times New Roman" w:cs="Times New Roman"/>
          <w:iCs/>
          <w:smallCaps/>
          <w:sz w:val="20"/>
          <w:szCs w:val="20"/>
        </w:rPr>
        <w:t xml:space="preserve"> Deutschland</w:t>
      </w:r>
      <w:r w:rsidRPr="00BF34E0">
        <w:rPr>
          <w:rFonts w:ascii="Times New Roman" w:hAnsi="Times New Roman" w:cs="Times New Roman"/>
          <w:sz w:val="20"/>
          <w:szCs w:val="20"/>
        </w:rPr>
        <w:t>, 20th ed. (Heidelberg, 1995), p. 192</w:t>
      </w:r>
      <w:r>
        <w:rPr>
          <w:rFonts w:ascii="Times New Roman" w:hAnsi="Times New Roman" w:cs="Times New Roman"/>
          <w:sz w:val="20"/>
          <w:szCs w:val="20"/>
        </w:rPr>
        <w:t xml:space="preserve"> (my </w:t>
      </w:r>
      <w:proofErr w:type="gramStart"/>
      <w:r>
        <w:rPr>
          <w:rFonts w:ascii="Times New Roman" w:hAnsi="Times New Roman" w:cs="Times New Roman"/>
          <w:sz w:val="20"/>
          <w:szCs w:val="20"/>
        </w:rPr>
        <w:t>trans</w:t>
      </w:r>
      <w:proofErr w:type="gramEnd"/>
      <w:r>
        <w:rPr>
          <w:rFonts w:ascii="Times New Roman" w:hAnsi="Times New Roman" w:cs="Times New Roman"/>
          <w:sz w:val="20"/>
          <w:szCs w:val="20"/>
        </w:rPr>
        <w:t>.)</w:t>
      </w:r>
      <w:r w:rsidRPr="00BF34E0">
        <w:rPr>
          <w:rFonts w:ascii="Times New Roman" w:hAnsi="Times New Roman" w:cs="Times New Roman"/>
          <w:sz w:val="20"/>
          <w:szCs w:val="20"/>
        </w:rPr>
        <w:t>.</w:t>
      </w:r>
    </w:p>
  </w:footnote>
  <w:footnote w:id="58">
    <w:p w:rsidR="00064198" w:rsidRPr="00E67524" w:rsidRDefault="00064198" w:rsidP="00E67524">
      <w:pPr>
        <w:spacing w:after="240"/>
        <w:ind w:firstLine="720"/>
        <w:rPr>
          <w:rFonts w:ascii="Times New Roman" w:hAnsi="Times New Roman" w:cs="Times New Roman"/>
          <w:sz w:val="20"/>
          <w:szCs w:val="20"/>
        </w:rPr>
      </w:pPr>
      <w:r>
        <w:rPr>
          <w:rStyle w:val="FootnoteReference"/>
        </w:rPr>
        <w:footnoteRef/>
      </w:r>
      <w:r>
        <w:t xml:space="preserve"> </w:t>
      </w:r>
      <w:proofErr w:type="spellStart"/>
      <w:proofErr w:type="gramStart"/>
      <w:r w:rsidR="00E67524" w:rsidRPr="00E67524">
        <w:rPr>
          <w:rFonts w:ascii="Times New Roman" w:hAnsi="Times New Roman" w:cs="Times New Roman"/>
          <w:sz w:val="20"/>
          <w:szCs w:val="20"/>
        </w:rPr>
        <w:t>BVerfGE</w:t>
      </w:r>
      <w:proofErr w:type="spellEnd"/>
      <w:r w:rsidR="00E67524" w:rsidRPr="00E67524">
        <w:rPr>
          <w:rFonts w:ascii="Times New Roman" w:hAnsi="Times New Roman" w:cs="Times New Roman"/>
          <w:sz w:val="20"/>
          <w:szCs w:val="20"/>
        </w:rPr>
        <w:t xml:space="preserve"> 52, 1 (1979).</w:t>
      </w:r>
      <w:proofErr w:type="gramEnd"/>
    </w:p>
  </w:footnote>
  <w:footnote w:id="59">
    <w:p w:rsidR="00031013" w:rsidRPr="00031013" w:rsidRDefault="00031013">
      <w:pPr>
        <w:pStyle w:val="FootnoteText"/>
        <w:rPr>
          <w:rFonts w:ascii="Times New Roman" w:hAnsi="Times New Roman" w:cs="Times New Roman"/>
        </w:rPr>
      </w:pPr>
      <w:r>
        <w:rPr>
          <w:rStyle w:val="FootnoteReference"/>
        </w:rPr>
        <w:footnoteRef/>
      </w:r>
      <w:r>
        <w:t xml:space="preserve"> </w:t>
      </w:r>
      <w:proofErr w:type="gramStart"/>
      <w:r>
        <w:rPr>
          <w:rFonts w:ascii="Times New Roman" w:hAnsi="Times New Roman" w:cs="Times New Roman"/>
          <w:i/>
          <w:iCs/>
        </w:rPr>
        <w:t>See</w:t>
      </w:r>
      <w:r w:rsidRPr="00031013">
        <w:rPr>
          <w:rFonts w:ascii="Times New Roman" w:hAnsi="Times New Roman" w:cs="Times New Roman"/>
        </w:rPr>
        <w:t xml:space="preserve"> Jeremy Waldron, </w:t>
      </w:r>
      <w:r w:rsidRPr="00031013">
        <w:rPr>
          <w:rFonts w:ascii="Times New Roman" w:hAnsi="Times New Roman" w:cs="Times New Roman"/>
          <w:i/>
          <w:iCs/>
        </w:rPr>
        <w:t>Homelessness and the Issue of Freedom</w:t>
      </w:r>
      <w:r w:rsidRPr="00031013">
        <w:rPr>
          <w:rFonts w:ascii="Times New Roman" w:hAnsi="Times New Roman" w:cs="Times New Roman"/>
        </w:rPr>
        <w:t xml:space="preserve">, 39 </w:t>
      </w:r>
      <w:r w:rsidRPr="00031013">
        <w:rPr>
          <w:rFonts w:ascii="Times New Roman" w:hAnsi="Times New Roman" w:cs="Times New Roman"/>
          <w:smallCaps/>
        </w:rPr>
        <w:t>UCLA L. Rev</w:t>
      </w:r>
      <w:r w:rsidRPr="00031013">
        <w:rPr>
          <w:rFonts w:ascii="Times New Roman" w:hAnsi="Times New Roman" w:cs="Times New Roman"/>
        </w:rPr>
        <w:t>. 295 (1991).</w:t>
      </w:r>
      <w:proofErr w:type="gramEnd"/>
    </w:p>
  </w:footnote>
  <w:footnote w:id="60">
    <w:p w:rsidR="00E37A07" w:rsidRPr="00E37A07" w:rsidRDefault="00E37A07">
      <w:pPr>
        <w:pStyle w:val="FootnoteText"/>
        <w:rPr>
          <w:rFonts w:ascii="Times New Roman" w:hAnsi="Times New Roman" w:cs="Times New Roman"/>
        </w:rPr>
      </w:pPr>
      <w:r>
        <w:rPr>
          <w:rStyle w:val="FootnoteReference"/>
        </w:rPr>
        <w:footnoteRef/>
      </w:r>
      <w:r>
        <w:t xml:space="preserve"> </w:t>
      </w:r>
      <w:proofErr w:type="gramStart"/>
      <w:r w:rsidRPr="00E37A07">
        <w:rPr>
          <w:rFonts w:ascii="Times New Roman" w:hAnsi="Times New Roman" w:cs="Times New Roman"/>
          <w:smallCaps/>
        </w:rPr>
        <w:t>Sen</w:t>
      </w:r>
      <w:r w:rsidRPr="00E37A07">
        <w:rPr>
          <w:rFonts w:ascii="Times New Roman" w:hAnsi="Times New Roman" w:cs="Times New Roman"/>
        </w:rPr>
        <w:t xml:space="preserve">, </w:t>
      </w:r>
      <w:r w:rsidRPr="00E37A07">
        <w:rPr>
          <w:rFonts w:ascii="Times New Roman" w:hAnsi="Times New Roman" w:cs="Times New Roman"/>
          <w:smallCaps/>
        </w:rPr>
        <w:t>Commodities and Capabilities</w:t>
      </w:r>
      <w:r w:rsidRPr="00E37A07">
        <w:rPr>
          <w:rFonts w:ascii="Times New Roman" w:hAnsi="Times New Roman" w:cs="Times New Roman"/>
        </w:rPr>
        <w:t xml:space="preserve">, </w:t>
      </w:r>
      <w:r w:rsidRPr="00E37A07">
        <w:rPr>
          <w:rFonts w:ascii="Times New Roman" w:hAnsi="Times New Roman" w:cs="Times New Roman"/>
          <w:i/>
          <w:iCs/>
        </w:rPr>
        <w:t>supra</w:t>
      </w:r>
      <w:r w:rsidRPr="00E37A07">
        <w:rPr>
          <w:rFonts w:ascii="Times New Roman" w:hAnsi="Times New Roman" w:cs="Times New Roman"/>
        </w:rPr>
        <w:t xml:space="preserve">, </w:t>
      </w:r>
      <w:r>
        <w:rPr>
          <w:rFonts w:ascii="Times New Roman" w:hAnsi="Times New Roman" w:cs="Times New Roman"/>
        </w:rPr>
        <w:t>p.</w:t>
      </w:r>
      <w:r w:rsidRPr="00E37A07">
        <w:rPr>
          <w:rFonts w:ascii="Times New Roman" w:hAnsi="Times New Roman" w:cs="Times New Roman"/>
        </w:rPr>
        <w:t xml:space="preserve"> 21</w:t>
      </w:r>
      <w:r>
        <w:rPr>
          <w:rFonts w:ascii="Times New Roman" w:hAnsi="Times New Roman" w:cs="Times New Roman"/>
        </w:rPr>
        <w:t>.</w:t>
      </w:r>
      <w:proofErr w:type="gramEnd"/>
    </w:p>
  </w:footnote>
  <w:footnote w:id="61">
    <w:p w:rsidR="0085050B" w:rsidRPr="008212C4" w:rsidRDefault="0085050B" w:rsidP="0085050B">
      <w:pPr>
        <w:pStyle w:val="FootnoteText"/>
        <w:rPr>
          <w:rFonts w:ascii="Times New Roman" w:hAnsi="Times New Roman" w:cs="Times New Roman"/>
        </w:rPr>
      </w:pPr>
      <w:r>
        <w:rPr>
          <w:rStyle w:val="FootnoteReference"/>
        </w:rPr>
        <w:footnoteRef/>
      </w:r>
      <w:r>
        <w:t xml:space="preserve"> </w:t>
      </w:r>
      <w:r w:rsidRPr="008212C4">
        <w:rPr>
          <w:rFonts w:ascii="Times New Roman" w:hAnsi="Times New Roman" w:cs="Times New Roman"/>
        </w:rPr>
        <w:t xml:space="preserve">Charles Taylor, </w:t>
      </w:r>
      <w:r w:rsidRPr="008212C4">
        <w:rPr>
          <w:rFonts w:ascii="Times New Roman" w:hAnsi="Times New Roman" w:cs="Times New Roman"/>
          <w:i/>
        </w:rPr>
        <w:t>Atomism</w:t>
      </w:r>
      <w:r w:rsidRPr="008212C4">
        <w:rPr>
          <w:rFonts w:ascii="Times New Roman" w:hAnsi="Times New Roman" w:cs="Times New Roman"/>
        </w:rPr>
        <w:t xml:space="preserve">, in </w:t>
      </w:r>
      <w:r w:rsidRPr="008212C4">
        <w:rPr>
          <w:rFonts w:ascii="Times New Roman" w:hAnsi="Times New Roman" w:cs="Times New Roman"/>
          <w:smallCaps/>
        </w:rPr>
        <w:t>Charles Taylor, Philosophy and the Human Sciences: Philosophical Papers</w:t>
      </w:r>
      <w:r>
        <w:rPr>
          <w:rFonts w:ascii="Times New Roman" w:hAnsi="Times New Roman" w:cs="Times New Roman"/>
        </w:rPr>
        <w:t xml:space="preserve"> II (Cambridge </w:t>
      </w:r>
      <w:r w:rsidR="00863E80">
        <w:rPr>
          <w:rFonts w:ascii="Times New Roman" w:hAnsi="Times New Roman" w:cs="Times New Roman"/>
        </w:rPr>
        <w:t>1985</w:t>
      </w:r>
      <w:r>
        <w:rPr>
          <w:rFonts w:ascii="Times New Roman" w:hAnsi="Times New Roman" w:cs="Times New Roman"/>
        </w:rPr>
        <w:t xml:space="preserve">), p. 205. </w:t>
      </w:r>
    </w:p>
  </w:footnote>
  <w:footnote w:id="62">
    <w:p w:rsidR="003F6C38" w:rsidRPr="003F6C38" w:rsidRDefault="003F6C38">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See</w:t>
      </w:r>
      <w:r>
        <w:rPr>
          <w:rFonts w:ascii="Times New Roman" w:hAnsi="Times New Roman" w:cs="Times New Roman"/>
        </w:rPr>
        <w:t xml:space="preserve"> </w:t>
      </w:r>
      <w:r w:rsidRPr="003F6C38">
        <w:rPr>
          <w:rFonts w:ascii="Times New Roman" w:hAnsi="Times New Roman" w:cs="Times New Roman"/>
          <w:smallCaps/>
        </w:rPr>
        <w:t xml:space="preserve">Van der Walt, </w:t>
      </w:r>
      <w:r w:rsidRPr="003F6C38">
        <w:rPr>
          <w:rFonts w:ascii="Times New Roman" w:hAnsi="Times New Roman" w:cs="Times New Roman"/>
          <w:iCs/>
          <w:smallCaps/>
        </w:rPr>
        <w:t>Constitutional Property Clauses</w:t>
      </w:r>
      <w:r w:rsidRPr="003F6C38">
        <w:rPr>
          <w:rFonts w:ascii="Times New Roman" w:hAnsi="Times New Roman" w:cs="Times New Roman"/>
        </w:rPr>
        <w:t xml:space="preserve">, </w:t>
      </w:r>
      <w:r w:rsidRPr="003F6C38">
        <w:rPr>
          <w:rFonts w:ascii="Times New Roman" w:hAnsi="Times New Roman" w:cs="Times New Roman"/>
          <w:i/>
        </w:rPr>
        <w:t>supra</w:t>
      </w:r>
      <w:r>
        <w:rPr>
          <w:rFonts w:ascii="Times New Roman" w:hAnsi="Times New Roman" w:cs="Times New Roman"/>
        </w:rPr>
        <w:t xml:space="preserve">, </w:t>
      </w:r>
      <w:r w:rsidRPr="003F6C38">
        <w:rPr>
          <w:rFonts w:ascii="Times New Roman" w:hAnsi="Times New Roman" w:cs="Times New Roman"/>
        </w:rPr>
        <w:t>p. 135</w:t>
      </w:r>
      <w:r>
        <w:rPr>
          <w:rFonts w:ascii="Times New Roman" w:hAnsi="Times New Roman" w:cs="Times New Roman"/>
        </w:rPr>
        <w:t>.</w:t>
      </w:r>
      <w:r>
        <w:t xml:space="preserve">  </w:t>
      </w:r>
    </w:p>
  </w:footnote>
  <w:footnote w:id="63">
    <w:p w:rsidR="00762ED3" w:rsidRPr="00762ED3" w:rsidRDefault="00762ED3">
      <w:pPr>
        <w:pStyle w:val="FootnoteText"/>
        <w:rPr>
          <w:rFonts w:ascii="Times New Roman" w:hAnsi="Times New Roman" w:cs="Times New Roman"/>
        </w:rPr>
      </w:pPr>
      <w:r>
        <w:rPr>
          <w:rStyle w:val="FootnoteReference"/>
        </w:rPr>
        <w:footnoteRef/>
      </w:r>
      <w:r>
        <w:t xml:space="preserve"> </w:t>
      </w:r>
      <w:proofErr w:type="gramStart"/>
      <w:r>
        <w:rPr>
          <w:rFonts w:ascii="Times New Roman" w:hAnsi="Times New Roman" w:cs="Times New Roman"/>
          <w:i/>
        </w:rPr>
        <w:t xml:space="preserve">See, e.g., </w:t>
      </w:r>
      <w:proofErr w:type="spellStart"/>
      <w:r w:rsidRPr="00762ED3">
        <w:rPr>
          <w:rFonts w:ascii="Times New Roman" w:hAnsi="Times New Roman" w:cs="Times New Roman"/>
        </w:rPr>
        <w:t>BVerfGE</w:t>
      </w:r>
      <w:proofErr w:type="spellEnd"/>
      <w:r w:rsidRPr="00762ED3">
        <w:rPr>
          <w:rFonts w:ascii="Times New Roman" w:hAnsi="Times New Roman" w:cs="Times New Roman"/>
        </w:rPr>
        <w:t xml:space="preserve"> 89, 1 (</w:t>
      </w:r>
      <w:proofErr w:type="spellStart"/>
      <w:r w:rsidRPr="00762ED3">
        <w:rPr>
          <w:rFonts w:ascii="Times New Roman" w:hAnsi="Times New Roman" w:cs="Times New Roman"/>
          <w:i/>
          <w:iCs/>
        </w:rPr>
        <w:t>Besitzrecht</w:t>
      </w:r>
      <w:proofErr w:type="spellEnd"/>
      <w:r w:rsidRPr="00762ED3">
        <w:rPr>
          <w:rFonts w:ascii="Times New Roman" w:hAnsi="Times New Roman" w:cs="Times New Roman"/>
          <w:i/>
          <w:iCs/>
        </w:rPr>
        <w:t xml:space="preserve"> des </w:t>
      </w:r>
      <w:proofErr w:type="spellStart"/>
      <w:r w:rsidRPr="00762ED3">
        <w:rPr>
          <w:rFonts w:ascii="Times New Roman" w:hAnsi="Times New Roman" w:cs="Times New Roman"/>
          <w:i/>
          <w:iCs/>
        </w:rPr>
        <w:t>Mieters</w:t>
      </w:r>
      <w:proofErr w:type="spellEnd"/>
      <w:r w:rsidRPr="00762ED3">
        <w:rPr>
          <w:rFonts w:ascii="Times New Roman" w:hAnsi="Times New Roman" w:cs="Times New Roman"/>
        </w:rPr>
        <w:t xml:space="preserve"> Case, 1993).</w:t>
      </w:r>
      <w:proofErr w:type="gramEnd"/>
      <w:r>
        <w:t xml:space="preserve">  </w:t>
      </w:r>
    </w:p>
  </w:footnote>
  <w:footnote w:id="64">
    <w:p w:rsidR="002C3886" w:rsidRPr="002C3886" w:rsidRDefault="002C3886">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There are other examples, of course. Airports and public utility easements are obvious ones.</w:t>
      </w:r>
    </w:p>
  </w:footnote>
  <w:footnote w:id="65">
    <w:p w:rsidR="00843BE3" w:rsidRPr="00843BE3" w:rsidRDefault="00843BE3">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See</w:t>
      </w:r>
      <w:r>
        <w:rPr>
          <w:rFonts w:ascii="Times New Roman" w:hAnsi="Times New Roman" w:cs="Times New Roman"/>
        </w:rPr>
        <w:t xml:space="preserve"> </w:t>
      </w:r>
      <w:r w:rsidR="002350B2" w:rsidRPr="002350B2">
        <w:rPr>
          <w:rFonts w:ascii="Times New Roman" w:hAnsi="Times New Roman" w:cs="Times New Roman"/>
          <w:smallCaps/>
        </w:rPr>
        <w:t>Andre</w:t>
      </w:r>
      <w:r w:rsidR="002350B2">
        <w:rPr>
          <w:rFonts w:ascii="Times New Roman" w:hAnsi="Times New Roman" w:cs="Times New Roman"/>
        </w:rPr>
        <w:t xml:space="preserve"> </w:t>
      </w:r>
      <w:r w:rsidRPr="0092375C">
        <w:rPr>
          <w:rFonts w:ascii="Times New Roman" w:hAnsi="Times New Roman" w:cs="Times New Roman"/>
          <w:smallCaps/>
        </w:rPr>
        <w:t xml:space="preserve">Van </w:t>
      </w:r>
      <w:r w:rsidR="0092375C">
        <w:rPr>
          <w:rFonts w:ascii="Times New Roman" w:hAnsi="Times New Roman" w:cs="Times New Roman"/>
          <w:smallCaps/>
        </w:rPr>
        <w:t>d</w:t>
      </w:r>
      <w:r w:rsidRPr="0092375C">
        <w:rPr>
          <w:rFonts w:ascii="Times New Roman" w:hAnsi="Times New Roman" w:cs="Times New Roman"/>
          <w:smallCaps/>
        </w:rPr>
        <w:t xml:space="preserve">er Walt, </w:t>
      </w:r>
      <w:r w:rsidR="0092375C" w:rsidRPr="0092375C">
        <w:rPr>
          <w:rFonts w:ascii="Times New Roman" w:hAnsi="Times New Roman" w:cs="Times New Roman"/>
          <w:smallCaps/>
        </w:rPr>
        <w:t>Constitutional Property</w:t>
      </w:r>
      <w:r w:rsidR="002350B2">
        <w:rPr>
          <w:rFonts w:ascii="Times New Roman" w:hAnsi="Times New Roman" w:cs="Times New Roman"/>
          <w:smallCaps/>
        </w:rPr>
        <w:t xml:space="preserve"> Law</w:t>
      </w:r>
      <w:r w:rsidR="0092375C">
        <w:rPr>
          <w:rFonts w:ascii="Times New Roman" w:hAnsi="Times New Roman" w:cs="Times New Roman"/>
        </w:rPr>
        <w:t xml:space="preserve">, </w:t>
      </w:r>
      <w:r w:rsidR="002350B2">
        <w:rPr>
          <w:rFonts w:ascii="Times New Roman" w:hAnsi="Times New Roman" w:cs="Times New Roman"/>
        </w:rPr>
        <w:t>3d ed. (Cape Town, So. Africa, 2011), p</w:t>
      </w:r>
      <w:r w:rsidR="0092375C">
        <w:rPr>
          <w:rFonts w:ascii="Times New Roman" w:hAnsi="Times New Roman" w:cs="Times New Roman"/>
        </w:rPr>
        <w:t xml:space="preserve">p. </w:t>
      </w:r>
      <w:r w:rsidR="002350B2">
        <w:rPr>
          <w:rFonts w:ascii="Times New Roman" w:hAnsi="Times New Roman" w:cs="Times New Roman"/>
        </w:rPr>
        <w:t>499-500</w:t>
      </w:r>
      <w:r w:rsidR="0092375C">
        <w:rPr>
          <w:rFonts w:ascii="Times New Roman" w:hAnsi="Times New Roman" w:cs="Times New Roman"/>
        </w:rPr>
        <w:t>.</w:t>
      </w:r>
    </w:p>
  </w:footnote>
  <w:footnote w:id="66">
    <w:p w:rsidR="00F474EC" w:rsidRPr="00F474EC" w:rsidRDefault="00F474EC">
      <w:pPr>
        <w:pStyle w:val="FootnoteText"/>
        <w:rPr>
          <w:rFonts w:ascii="Times New Roman" w:hAnsi="Times New Roman" w:cs="Times New Roman"/>
        </w:rPr>
      </w:pPr>
      <w:r>
        <w:rPr>
          <w:rStyle w:val="FootnoteReference"/>
        </w:rPr>
        <w:footnoteRef/>
      </w:r>
      <w:r>
        <w:t xml:space="preserve"> </w:t>
      </w:r>
      <w:proofErr w:type="spellStart"/>
      <w:proofErr w:type="gramStart"/>
      <w:r>
        <w:rPr>
          <w:rFonts w:ascii="Times New Roman" w:hAnsi="Times New Roman" w:cs="Times New Roman"/>
        </w:rPr>
        <w:t>Kelo</w:t>
      </w:r>
      <w:proofErr w:type="spellEnd"/>
      <w:r>
        <w:rPr>
          <w:rFonts w:ascii="Times New Roman" w:hAnsi="Times New Roman" w:cs="Times New Roman"/>
        </w:rPr>
        <w:t xml:space="preserve"> v. City of New London, 268 A.2d 500, 509 (Conn. 2004).</w:t>
      </w:r>
      <w:proofErr w:type="gramEnd"/>
    </w:p>
  </w:footnote>
  <w:footnote w:id="67">
    <w:p w:rsidR="00395FD7" w:rsidRPr="00395FD7" w:rsidRDefault="00395FD7">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Ibid.</w:t>
      </w:r>
    </w:p>
  </w:footnote>
  <w:footnote w:id="68">
    <w:p w:rsidR="00EA5666" w:rsidRPr="00EA5666" w:rsidRDefault="00EA5666">
      <w:pPr>
        <w:pStyle w:val="FootnoteText"/>
        <w:rPr>
          <w:rFonts w:ascii="Times New Roman" w:hAnsi="Times New Roman" w:cs="Times New Roman"/>
        </w:rPr>
      </w:pPr>
      <w:r>
        <w:rPr>
          <w:rStyle w:val="FootnoteReference"/>
        </w:rPr>
        <w:footnoteRef/>
      </w:r>
      <w:r>
        <w:t xml:space="preserve"> </w:t>
      </w:r>
      <w:proofErr w:type="gramStart"/>
      <w:r>
        <w:rPr>
          <w:rFonts w:ascii="Times New Roman" w:hAnsi="Times New Roman" w:cs="Times New Roman"/>
          <w:i/>
        </w:rPr>
        <w:t xml:space="preserve">Id. </w:t>
      </w:r>
      <w:r>
        <w:rPr>
          <w:rFonts w:ascii="Times New Roman" w:hAnsi="Times New Roman" w:cs="Times New Roman"/>
        </w:rPr>
        <w:t>at 539.</w:t>
      </w:r>
      <w:proofErr w:type="gramEnd"/>
    </w:p>
  </w:footnote>
  <w:footnote w:id="69">
    <w:p w:rsidR="00A64B42" w:rsidRPr="00A64B42" w:rsidRDefault="00A64B42">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Id.</w:t>
      </w:r>
      <w:r>
        <w:rPr>
          <w:rFonts w:ascii="Times New Roman" w:hAnsi="Times New Roman" w:cs="Times New Roman"/>
        </w:rPr>
        <w:t xml:space="preserve"> at 552-555.</w:t>
      </w:r>
    </w:p>
  </w:footnote>
  <w:footnote w:id="70">
    <w:p w:rsidR="00A64B42" w:rsidRPr="00A64B42" w:rsidRDefault="00A64B42">
      <w:pPr>
        <w:pStyle w:val="FootnoteText"/>
        <w:rPr>
          <w:rFonts w:ascii="Times New Roman" w:hAnsi="Times New Roman" w:cs="Times New Roman"/>
          <w:i/>
        </w:rPr>
      </w:pPr>
      <w:r>
        <w:rPr>
          <w:rStyle w:val="FootnoteReference"/>
        </w:rPr>
        <w:footnoteRef/>
      </w:r>
      <w:r>
        <w:t xml:space="preserve"> </w:t>
      </w:r>
      <w:r>
        <w:rPr>
          <w:rFonts w:ascii="Times New Roman" w:hAnsi="Times New Roman" w:cs="Times New Roman"/>
          <w:i/>
        </w:rPr>
        <w:t>Ibid.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54B3C"/>
    <w:multiLevelType w:val="hybridMultilevel"/>
    <w:tmpl w:val="08E2281C"/>
    <w:lvl w:ilvl="0" w:tplc="9E72FC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9DA"/>
    <w:rsid w:val="00000059"/>
    <w:rsid w:val="00006904"/>
    <w:rsid w:val="000162AF"/>
    <w:rsid w:val="00026CC5"/>
    <w:rsid w:val="00031013"/>
    <w:rsid w:val="00033EAD"/>
    <w:rsid w:val="00042091"/>
    <w:rsid w:val="00042BF6"/>
    <w:rsid w:val="00046BFF"/>
    <w:rsid w:val="000507CC"/>
    <w:rsid w:val="0005772C"/>
    <w:rsid w:val="0006014E"/>
    <w:rsid w:val="000618BC"/>
    <w:rsid w:val="00064198"/>
    <w:rsid w:val="00065A64"/>
    <w:rsid w:val="000703C9"/>
    <w:rsid w:val="00074529"/>
    <w:rsid w:val="000775F4"/>
    <w:rsid w:val="000811EA"/>
    <w:rsid w:val="00091814"/>
    <w:rsid w:val="000941D9"/>
    <w:rsid w:val="0009796D"/>
    <w:rsid w:val="000A162F"/>
    <w:rsid w:val="000A2556"/>
    <w:rsid w:val="000A7057"/>
    <w:rsid w:val="000B145F"/>
    <w:rsid w:val="000D1FA2"/>
    <w:rsid w:val="000D7CFA"/>
    <w:rsid w:val="000E019C"/>
    <w:rsid w:val="000F7822"/>
    <w:rsid w:val="001011A4"/>
    <w:rsid w:val="00106630"/>
    <w:rsid w:val="00116ECC"/>
    <w:rsid w:val="00121D91"/>
    <w:rsid w:val="00133AD4"/>
    <w:rsid w:val="00140ED5"/>
    <w:rsid w:val="0014709F"/>
    <w:rsid w:val="00150BE1"/>
    <w:rsid w:val="00153691"/>
    <w:rsid w:val="00153967"/>
    <w:rsid w:val="00157EB5"/>
    <w:rsid w:val="001646C7"/>
    <w:rsid w:val="00165176"/>
    <w:rsid w:val="00176534"/>
    <w:rsid w:val="001966E8"/>
    <w:rsid w:val="001A0025"/>
    <w:rsid w:val="001A7211"/>
    <w:rsid w:val="001B7210"/>
    <w:rsid w:val="00203BB4"/>
    <w:rsid w:val="00203C4B"/>
    <w:rsid w:val="00206021"/>
    <w:rsid w:val="002121E1"/>
    <w:rsid w:val="0021327B"/>
    <w:rsid w:val="00217DC2"/>
    <w:rsid w:val="002200AE"/>
    <w:rsid w:val="00222977"/>
    <w:rsid w:val="002236E5"/>
    <w:rsid w:val="00225749"/>
    <w:rsid w:val="0022585A"/>
    <w:rsid w:val="00232747"/>
    <w:rsid w:val="002350B2"/>
    <w:rsid w:val="00236E9D"/>
    <w:rsid w:val="00253033"/>
    <w:rsid w:val="00261791"/>
    <w:rsid w:val="00262054"/>
    <w:rsid w:val="00276EDF"/>
    <w:rsid w:val="00280A01"/>
    <w:rsid w:val="00290748"/>
    <w:rsid w:val="00292119"/>
    <w:rsid w:val="00293D6E"/>
    <w:rsid w:val="002A429C"/>
    <w:rsid w:val="002B283E"/>
    <w:rsid w:val="002B328A"/>
    <w:rsid w:val="002C3886"/>
    <w:rsid w:val="002D21CD"/>
    <w:rsid w:val="002D3CC4"/>
    <w:rsid w:val="002E6333"/>
    <w:rsid w:val="002E7E06"/>
    <w:rsid w:val="00300942"/>
    <w:rsid w:val="00302AA4"/>
    <w:rsid w:val="0033286B"/>
    <w:rsid w:val="0033503C"/>
    <w:rsid w:val="003437A3"/>
    <w:rsid w:val="00357768"/>
    <w:rsid w:val="00363E53"/>
    <w:rsid w:val="00364B9C"/>
    <w:rsid w:val="00364DDE"/>
    <w:rsid w:val="003951BB"/>
    <w:rsid w:val="00395FD7"/>
    <w:rsid w:val="00396CC6"/>
    <w:rsid w:val="003974D3"/>
    <w:rsid w:val="003B19D9"/>
    <w:rsid w:val="003B65E5"/>
    <w:rsid w:val="003C40D5"/>
    <w:rsid w:val="003C57D7"/>
    <w:rsid w:val="003C6C6B"/>
    <w:rsid w:val="003D4E84"/>
    <w:rsid w:val="003D60FE"/>
    <w:rsid w:val="003E1A60"/>
    <w:rsid w:val="003F1F49"/>
    <w:rsid w:val="003F6C38"/>
    <w:rsid w:val="00403C77"/>
    <w:rsid w:val="00405C93"/>
    <w:rsid w:val="00430E87"/>
    <w:rsid w:val="0043113A"/>
    <w:rsid w:val="00441B5F"/>
    <w:rsid w:val="00447204"/>
    <w:rsid w:val="0045038D"/>
    <w:rsid w:val="00453F66"/>
    <w:rsid w:val="00454768"/>
    <w:rsid w:val="00456AB4"/>
    <w:rsid w:val="00462772"/>
    <w:rsid w:val="00466D2C"/>
    <w:rsid w:val="00477A57"/>
    <w:rsid w:val="00483D3C"/>
    <w:rsid w:val="00484006"/>
    <w:rsid w:val="004A34A5"/>
    <w:rsid w:val="004A619B"/>
    <w:rsid w:val="004A76AA"/>
    <w:rsid w:val="004C0014"/>
    <w:rsid w:val="004C32C3"/>
    <w:rsid w:val="004F664A"/>
    <w:rsid w:val="005036D2"/>
    <w:rsid w:val="005078AC"/>
    <w:rsid w:val="005170BF"/>
    <w:rsid w:val="00523A73"/>
    <w:rsid w:val="005267F3"/>
    <w:rsid w:val="00530FA1"/>
    <w:rsid w:val="00541361"/>
    <w:rsid w:val="00545D80"/>
    <w:rsid w:val="0055706E"/>
    <w:rsid w:val="0056420C"/>
    <w:rsid w:val="00582325"/>
    <w:rsid w:val="005877CA"/>
    <w:rsid w:val="00593BCE"/>
    <w:rsid w:val="005A39A4"/>
    <w:rsid w:val="005A4086"/>
    <w:rsid w:val="005C0530"/>
    <w:rsid w:val="005D1D02"/>
    <w:rsid w:val="005D5AFB"/>
    <w:rsid w:val="005D7C2D"/>
    <w:rsid w:val="00616957"/>
    <w:rsid w:val="006172CD"/>
    <w:rsid w:val="0062274B"/>
    <w:rsid w:val="006260FB"/>
    <w:rsid w:val="006266F4"/>
    <w:rsid w:val="006359F2"/>
    <w:rsid w:val="00646454"/>
    <w:rsid w:val="00655149"/>
    <w:rsid w:val="006655E1"/>
    <w:rsid w:val="0066571A"/>
    <w:rsid w:val="0066665A"/>
    <w:rsid w:val="00672856"/>
    <w:rsid w:val="00672C7B"/>
    <w:rsid w:val="00673D55"/>
    <w:rsid w:val="00690484"/>
    <w:rsid w:val="006918FC"/>
    <w:rsid w:val="006B05A6"/>
    <w:rsid w:val="006B40D0"/>
    <w:rsid w:val="006B5E69"/>
    <w:rsid w:val="006D1795"/>
    <w:rsid w:val="006D2ED2"/>
    <w:rsid w:val="006D526C"/>
    <w:rsid w:val="006E00C1"/>
    <w:rsid w:val="006E3C3C"/>
    <w:rsid w:val="006E796F"/>
    <w:rsid w:val="0071161B"/>
    <w:rsid w:val="00734F69"/>
    <w:rsid w:val="0073511D"/>
    <w:rsid w:val="007526B5"/>
    <w:rsid w:val="00762ED3"/>
    <w:rsid w:val="00782138"/>
    <w:rsid w:val="0079777E"/>
    <w:rsid w:val="007A6EB6"/>
    <w:rsid w:val="007B2898"/>
    <w:rsid w:val="007B4AD2"/>
    <w:rsid w:val="007B6934"/>
    <w:rsid w:val="007B7682"/>
    <w:rsid w:val="007C5839"/>
    <w:rsid w:val="007D1887"/>
    <w:rsid w:val="007D5C0E"/>
    <w:rsid w:val="007D65C1"/>
    <w:rsid w:val="007D70EF"/>
    <w:rsid w:val="007E22D9"/>
    <w:rsid w:val="007E4B6C"/>
    <w:rsid w:val="007F214B"/>
    <w:rsid w:val="007F7A7A"/>
    <w:rsid w:val="00802FA2"/>
    <w:rsid w:val="00803805"/>
    <w:rsid w:val="008171A5"/>
    <w:rsid w:val="008212C4"/>
    <w:rsid w:val="00843BE3"/>
    <w:rsid w:val="0085050B"/>
    <w:rsid w:val="00863E80"/>
    <w:rsid w:val="00864A26"/>
    <w:rsid w:val="00871C88"/>
    <w:rsid w:val="0089358E"/>
    <w:rsid w:val="008A0C7C"/>
    <w:rsid w:val="008B536B"/>
    <w:rsid w:val="008D13BB"/>
    <w:rsid w:val="008D2911"/>
    <w:rsid w:val="008D4D85"/>
    <w:rsid w:val="008E19DA"/>
    <w:rsid w:val="008E45A7"/>
    <w:rsid w:val="008E4F90"/>
    <w:rsid w:val="009039A8"/>
    <w:rsid w:val="00905EC5"/>
    <w:rsid w:val="0092375C"/>
    <w:rsid w:val="00923985"/>
    <w:rsid w:val="009316C2"/>
    <w:rsid w:val="00935ABA"/>
    <w:rsid w:val="009368D1"/>
    <w:rsid w:val="009407DF"/>
    <w:rsid w:val="00944EE6"/>
    <w:rsid w:val="0095493B"/>
    <w:rsid w:val="009571E7"/>
    <w:rsid w:val="00991347"/>
    <w:rsid w:val="00992F84"/>
    <w:rsid w:val="009943A7"/>
    <w:rsid w:val="009A06B2"/>
    <w:rsid w:val="009C2B4A"/>
    <w:rsid w:val="009C49F7"/>
    <w:rsid w:val="009F6F4B"/>
    <w:rsid w:val="00A02705"/>
    <w:rsid w:val="00A2456B"/>
    <w:rsid w:val="00A34CD2"/>
    <w:rsid w:val="00A36670"/>
    <w:rsid w:val="00A37FF3"/>
    <w:rsid w:val="00A412EE"/>
    <w:rsid w:val="00A47A3A"/>
    <w:rsid w:val="00A56299"/>
    <w:rsid w:val="00A61362"/>
    <w:rsid w:val="00A64B42"/>
    <w:rsid w:val="00A74A2A"/>
    <w:rsid w:val="00A906B1"/>
    <w:rsid w:val="00AA58E0"/>
    <w:rsid w:val="00AA6D6F"/>
    <w:rsid w:val="00AC7574"/>
    <w:rsid w:val="00AF19F0"/>
    <w:rsid w:val="00AF3983"/>
    <w:rsid w:val="00AF6188"/>
    <w:rsid w:val="00B01141"/>
    <w:rsid w:val="00B069A0"/>
    <w:rsid w:val="00B071DA"/>
    <w:rsid w:val="00B14844"/>
    <w:rsid w:val="00B14C71"/>
    <w:rsid w:val="00B15EDF"/>
    <w:rsid w:val="00B1645E"/>
    <w:rsid w:val="00B16B80"/>
    <w:rsid w:val="00B21A17"/>
    <w:rsid w:val="00B25B28"/>
    <w:rsid w:val="00B52A51"/>
    <w:rsid w:val="00B60ADA"/>
    <w:rsid w:val="00B62C9A"/>
    <w:rsid w:val="00B7605C"/>
    <w:rsid w:val="00B8774B"/>
    <w:rsid w:val="00BC0527"/>
    <w:rsid w:val="00BC3D33"/>
    <w:rsid w:val="00BC5C6B"/>
    <w:rsid w:val="00BC62FD"/>
    <w:rsid w:val="00BC782D"/>
    <w:rsid w:val="00BF34E0"/>
    <w:rsid w:val="00C03F33"/>
    <w:rsid w:val="00C20471"/>
    <w:rsid w:val="00C2245C"/>
    <w:rsid w:val="00C22884"/>
    <w:rsid w:val="00C2468D"/>
    <w:rsid w:val="00C363BF"/>
    <w:rsid w:val="00C41812"/>
    <w:rsid w:val="00C4306D"/>
    <w:rsid w:val="00C472CE"/>
    <w:rsid w:val="00C47355"/>
    <w:rsid w:val="00C774A8"/>
    <w:rsid w:val="00C91DD7"/>
    <w:rsid w:val="00C92738"/>
    <w:rsid w:val="00C934A9"/>
    <w:rsid w:val="00CB00C4"/>
    <w:rsid w:val="00CC50D9"/>
    <w:rsid w:val="00CC77AE"/>
    <w:rsid w:val="00CD7728"/>
    <w:rsid w:val="00CE25CE"/>
    <w:rsid w:val="00CE73EE"/>
    <w:rsid w:val="00D10488"/>
    <w:rsid w:val="00D12187"/>
    <w:rsid w:val="00D16CB5"/>
    <w:rsid w:val="00D1705A"/>
    <w:rsid w:val="00D223A5"/>
    <w:rsid w:val="00D47F61"/>
    <w:rsid w:val="00D71064"/>
    <w:rsid w:val="00D716ED"/>
    <w:rsid w:val="00D74141"/>
    <w:rsid w:val="00D8247A"/>
    <w:rsid w:val="00D85FB7"/>
    <w:rsid w:val="00DA0094"/>
    <w:rsid w:val="00DA5D4F"/>
    <w:rsid w:val="00DB0ED8"/>
    <w:rsid w:val="00DC21E7"/>
    <w:rsid w:val="00DC3BAB"/>
    <w:rsid w:val="00DC3EAF"/>
    <w:rsid w:val="00DE4AA3"/>
    <w:rsid w:val="00DF5175"/>
    <w:rsid w:val="00E34F2D"/>
    <w:rsid w:val="00E37A07"/>
    <w:rsid w:val="00E47E1B"/>
    <w:rsid w:val="00E5583A"/>
    <w:rsid w:val="00E55894"/>
    <w:rsid w:val="00E57256"/>
    <w:rsid w:val="00E57D63"/>
    <w:rsid w:val="00E67524"/>
    <w:rsid w:val="00E751C0"/>
    <w:rsid w:val="00E80B3B"/>
    <w:rsid w:val="00E90A62"/>
    <w:rsid w:val="00E93EFA"/>
    <w:rsid w:val="00E94CA4"/>
    <w:rsid w:val="00E97027"/>
    <w:rsid w:val="00EA2314"/>
    <w:rsid w:val="00EA5666"/>
    <w:rsid w:val="00EA6BE4"/>
    <w:rsid w:val="00EB5721"/>
    <w:rsid w:val="00EE365C"/>
    <w:rsid w:val="00EE7E6B"/>
    <w:rsid w:val="00EF4268"/>
    <w:rsid w:val="00EF4D10"/>
    <w:rsid w:val="00EF59AB"/>
    <w:rsid w:val="00F019EE"/>
    <w:rsid w:val="00F02EC5"/>
    <w:rsid w:val="00F151B9"/>
    <w:rsid w:val="00F1641C"/>
    <w:rsid w:val="00F2059B"/>
    <w:rsid w:val="00F33A2D"/>
    <w:rsid w:val="00F409F6"/>
    <w:rsid w:val="00F42276"/>
    <w:rsid w:val="00F474EC"/>
    <w:rsid w:val="00F60809"/>
    <w:rsid w:val="00F6175B"/>
    <w:rsid w:val="00F64E68"/>
    <w:rsid w:val="00F655E4"/>
    <w:rsid w:val="00F65D28"/>
    <w:rsid w:val="00F72449"/>
    <w:rsid w:val="00F76E39"/>
    <w:rsid w:val="00F843D2"/>
    <w:rsid w:val="00F93F28"/>
    <w:rsid w:val="00F94C08"/>
    <w:rsid w:val="00FA6746"/>
    <w:rsid w:val="00FA7A34"/>
    <w:rsid w:val="00FB1452"/>
    <w:rsid w:val="00FB7197"/>
    <w:rsid w:val="00FD08B1"/>
    <w:rsid w:val="00FD624E"/>
    <w:rsid w:val="00FE478D"/>
    <w:rsid w:val="00FF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19DA"/>
    <w:pPr>
      <w:spacing w:after="0" w:line="240" w:lineRule="auto"/>
    </w:pPr>
  </w:style>
  <w:style w:type="paragraph" w:styleId="FootnoteText">
    <w:name w:val="footnote text"/>
    <w:basedOn w:val="Normal"/>
    <w:link w:val="FootnoteTextChar"/>
    <w:uiPriority w:val="99"/>
    <w:semiHidden/>
    <w:unhideWhenUsed/>
    <w:rsid w:val="004547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768"/>
    <w:rPr>
      <w:sz w:val="20"/>
      <w:szCs w:val="20"/>
    </w:rPr>
  </w:style>
  <w:style w:type="character" w:styleId="FootnoteReference">
    <w:name w:val="footnote reference"/>
    <w:basedOn w:val="DefaultParagraphFont"/>
    <w:uiPriority w:val="99"/>
    <w:semiHidden/>
    <w:unhideWhenUsed/>
    <w:rsid w:val="00454768"/>
    <w:rPr>
      <w:vertAlign w:val="superscript"/>
    </w:rPr>
  </w:style>
  <w:style w:type="paragraph" w:customStyle="1" w:styleId="FootNote">
    <w:name w:val="_FootNote"/>
    <w:basedOn w:val="Normal"/>
    <w:rsid w:val="00734F69"/>
    <w:pPr>
      <w:widowControl w:val="0"/>
      <w:suppressLineNumbers/>
      <w:tabs>
        <w:tab w:val="right" w:pos="360"/>
        <w:tab w:val="left" w:pos="560"/>
      </w:tabs>
      <w:spacing w:before="20" w:after="0" w:line="200" w:lineRule="exact"/>
      <w:jc w:val="both"/>
    </w:pPr>
    <w:rPr>
      <w:rFonts w:ascii="NewBaskerville" w:eastAsia="Times New Roman" w:hAnsi="NewBaskerville" w:cs="Times New Roman"/>
      <w:sz w:val="17"/>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19DA"/>
    <w:pPr>
      <w:spacing w:after="0" w:line="240" w:lineRule="auto"/>
    </w:pPr>
  </w:style>
  <w:style w:type="paragraph" w:styleId="FootnoteText">
    <w:name w:val="footnote text"/>
    <w:basedOn w:val="Normal"/>
    <w:link w:val="FootnoteTextChar"/>
    <w:uiPriority w:val="99"/>
    <w:semiHidden/>
    <w:unhideWhenUsed/>
    <w:rsid w:val="004547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768"/>
    <w:rPr>
      <w:sz w:val="20"/>
      <w:szCs w:val="20"/>
    </w:rPr>
  </w:style>
  <w:style w:type="character" w:styleId="FootnoteReference">
    <w:name w:val="footnote reference"/>
    <w:basedOn w:val="DefaultParagraphFont"/>
    <w:uiPriority w:val="99"/>
    <w:semiHidden/>
    <w:unhideWhenUsed/>
    <w:rsid w:val="00454768"/>
    <w:rPr>
      <w:vertAlign w:val="superscript"/>
    </w:rPr>
  </w:style>
  <w:style w:type="paragraph" w:customStyle="1" w:styleId="FootNote">
    <w:name w:val="_FootNote"/>
    <w:basedOn w:val="Normal"/>
    <w:rsid w:val="00734F69"/>
    <w:pPr>
      <w:widowControl w:val="0"/>
      <w:suppressLineNumbers/>
      <w:tabs>
        <w:tab w:val="right" w:pos="360"/>
        <w:tab w:val="left" w:pos="560"/>
      </w:tabs>
      <w:spacing w:before="20" w:after="0" w:line="200" w:lineRule="exact"/>
      <w:jc w:val="both"/>
    </w:pPr>
    <w:rPr>
      <w:rFonts w:ascii="NewBaskerville" w:eastAsia="Times New Roman" w:hAnsi="NewBaskerville" w:cs="Times New Roman"/>
      <w:sz w:val="17"/>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5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CEE87-057C-4945-90EA-3A940589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8082</Words>
  <Characters>46071</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Alexander</dc:creator>
  <cp:lastModifiedBy>loaner</cp:lastModifiedBy>
  <cp:revision>2</cp:revision>
  <dcterms:created xsi:type="dcterms:W3CDTF">2014-08-19T16:14:00Z</dcterms:created>
  <dcterms:modified xsi:type="dcterms:W3CDTF">2014-08-19T16:14:00Z</dcterms:modified>
</cp:coreProperties>
</file>