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GB"/>
        </w:rPr>
        <w:t>A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lexander, G.S., ‘Eminent Domain and Secondary Rent-Seeking’,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New York University Journal of Law &amp; Liberty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Vol. 1, 2005, p. 958.</w:t>
      </w:r>
    </w:p>
    <w:p w:rsidR="00AA2F33" w:rsidRPr="007320D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Alexander G.S., Penalver, E.M., Singer, J.W., &amp; Underkuffler, L.S.,  ‘A Statement of Progressive Property’,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Cornell Law Review,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 Vol. 94, 2009, p. 743.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Alexander, G.S. &amp; Penalver, E.M. (Eds),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Community and Property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New York: Oxford University Press, 2010.</w:t>
      </w:r>
    </w:p>
    <w:p w:rsidR="00AA2F3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Allen, T., ‘Liberalism, social democracy and the value of property under the European Convention of Human Rights’,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International and Comparative Law Quarterly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Vol. 59, 2010, p. 1055.</w:t>
      </w:r>
    </w:p>
    <w:p w:rsidR="00AA2F33" w:rsidRPr="007320D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Alterman, R. (Ed),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Takings International: A Comparative Perspective on Land Use Regulations and Compensation Rights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Chicago: Amercian Bar Association, 2010.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Amundsen, O.,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Lov om Vasdragsreguleringer av 14 December 1917 (nr. 17) med Senere Tillæg og Forandringer med Kommentar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Oslo: Aschehough, 1928.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Baum, A., Sams, G., Ellis, J., Hampson, C. &amp; Stevens, D.,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Statutory Valuations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 (4th ed.), Oxon: Routledge, 2014.</w:t>
      </w:r>
    </w:p>
    <w:p w:rsidR="00AA2F33" w:rsidRPr="007320D3" w:rsidRDefault="00AA2F33" w:rsidP="00AA2F33">
      <w:pPr>
        <w:pStyle w:val="ListParagraph"/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Bell, A. &amp; Parchomovsky, G. ‘Taking Compensation Private’,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Stanford Law Review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, Vol. 59, 2007, p. 871. 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Bens, M. &amp; Frey, B.S., ‘Being Independent Is a Great Thing:  Subjective Evaluations of Self-Employment and Hierarchy’,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Economica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Vol. 75, 2008, p. 362.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Berger, L., ‘The Public Use Requirement in Eminent Domain’,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Oregon Law Review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Vol. 57, 1978, p. 203.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Carnwath, R., ‘After Spirerose – Back to the Common Law?’, 2011 (May)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Journal of Planning &amp; Environment Law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p. 27.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Castberg, F.,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Norges Statsforfatning Bind 2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 (3rd ed.), Oslo: Universitetsforlaget, 1964.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Cohen, C.E., ‘Eminent Domain after Kelo v. City of New London: An Argument for Banning Economic Development Takings’,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Harvard Journal of Law &amp; Public Policy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>, Vol. 29, 2006, p. 491.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AA2F3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Crow, S., ‘Compulsory Purchase for Economic Development: An International Perspective’, 2007 (Aug) </w:t>
      </w:r>
      <w:r w:rsidRPr="00AA2F33">
        <w:rPr>
          <w:rFonts w:ascii="Times New Roman" w:hAnsi="Times New Roman" w:cs="Times New Roman"/>
          <w:i/>
          <w:sz w:val="20"/>
          <w:szCs w:val="20"/>
          <w:lang w:val="en-GB"/>
        </w:rPr>
        <w:t>Journal of Planning &amp; Environment Law,</w:t>
      </w:r>
      <w:r w:rsidRPr="00AA2F33">
        <w:rPr>
          <w:rFonts w:ascii="Times New Roman" w:hAnsi="Times New Roman" w:cs="Times New Roman"/>
          <w:sz w:val="20"/>
          <w:szCs w:val="20"/>
          <w:lang w:val="en-GB"/>
        </w:rPr>
        <w:t xml:space="preserve"> p. 1102.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Dahl, W.S.,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Den Norske Vasdragsret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Kristiania: Den Norske Forlagsforening, 1888.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Dyrkolbotn, O.,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Ingen Rettsstat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Vikanes: Randi Enger, 2014.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Fennell, L.A., ‘Taking Eminent Domain Apart’, 2004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Michigan State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p. 957.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Freilich, R.H., ‘Condemnation Blight:  Analysis and Suggested Solutions’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in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A.T. Ackerman &amp; D.W. Dynkowski (Eds.),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 xml:space="preserve">Current Condemnation Law: Takings, Compensation and Benefits 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(2nd ed.), Chicago: American Bar Association, 2006, p. 81.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Gupta, R., ‘Ruling Rewrites Case Law on Compensation Terms’, 2009 (Dec)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Planning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2009, p. 9.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Heller, M. &amp; Hills, R., ‘Land  Assembly  Districts’,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Harvard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121, 2008, p. 1465.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Householder, B.A., `Kelo Compensation: The Future of Economic Development Takings’,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Chicago-Kent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82, 2007, p. 1029.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Kleven, T.,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Fra Gjenreisning til  Samfunnsplanlegging: Norsk Kommuneplanlegging 1965-2005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Trondheim: Tapir Akademiske Forlag, 2011.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Klein, D.B., &amp; Robinson, J., ‘Property: A Bundle of Rights? Prologue to the Property Symposium’,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Econ Journal Watch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8, 2011, p. 193.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Krier, J.E. &amp; Serkin, C., ‘Public Ruses’,  2004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Michigan State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p. 859.</w:t>
      </w:r>
    </w:p>
    <w:p w:rsidR="00AA2F33" w:rsidRPr="007320D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Larsen, U., Lund C. &amp; Stinessen, S.E., ‘Erstatning for Erverv av  Fallrettigheter’,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 xml:space="preserve">Tidsskrift for Eiendomsrett, 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Vol. 2, 2006, p. 175. </w:t>
      </w:r>
    </w:p>
    <w:p w:rsidR="00AA2F33" w:rsidRPr="007320D3" w:rsidRDefault="00AA2F33" w:rsidP="00AA2F33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‘Fallerstatning  – Uleberg-dommen’,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Tidsskrift for Eiendomsrett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, Vol. 4, 2008, p. 46. </w:t>
      </w:r>
    </w:p>
    <w:p w:rsidR="00AA2F33" w:rsidRPr="007320D3" w:rsidRDefault="00AA2F33" w:rsidP="00AA2F33">
      <w:pPr>
        <w:ind w:firstLine="708"/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‘Er Naturhestekraftmetoden Rettshistorie?’,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Tidsskrift for Eiendomsrett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8, 2012, p. 21.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              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ab/>
      </w: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Lehavi A. &amp; Licht A.N., ‘Eminent Domain, Inc.’,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Columbia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107, 2007, p. 1704.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Meidinger, E. E., ‘The ‘’public uses’’ of Eminent Domain: History and Policy’,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 xml:space="preserve">Environmental law, 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Vol. 11, 1980, p. 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Merrill, T.W., ‘The Economics of Public Use’,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Cornell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72, 1986, p. 61.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Penner, J.E., ‘The “bundle of rights” Picture of Property’,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UCLA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43, 1996, p. 711.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Radin, M.J.,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Reinterpreting Property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Chicago: University of Chicago Press, Chicago, 1993.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Ravnå, Ø.,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Perspektiver på Jordskifte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Oslo: Gyldendahl, 2008.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Rogstad, O., ‘Verdien av Rå Vannkraft’, 1956(4)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Fossekallen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Skjold, D.O.,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Statens Kraft  1947-1965: For Velferd og Industri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Oslo: Universitetsforlaget, 2006.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Sluysmans, J., Verbist S. &amp; de Graaff, R., ‘Compensation for Expropriation: How Compensation Reflects a Vision on Property’ 2014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European Property Law Journal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p. 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Somin, I., ‘Controlling the Grasping Hand: Economic Development Takings after Kelo’,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Supreme Court Economic Review,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Vol. 15, 2007, p. 183.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`The  Limits of Backlash: Assessing the Political Response to Kelo’,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Minnesota Law Review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93, 2009, p. 2100.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Sontum, C. &amp; Sofienlund, E., ‘Ekspropriasjon av Vannkraft – Hvorfor den Historiske Metoden fra Norsk Rettspraksis ikke er Relevant i Dagens Marked’, 2007(4)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Småkraftnytt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Stokstad, S.,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Bruksordning ved Jordskifte i Samband med Utbygging av Småskalakraftverk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(Master Thesis), Ås: Universitetet for miljø og biovitskap, 2011.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Stordrange, B., ‘Reguleringsplaner og Ekspropriasjonserstatning’,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 xml:space="preserve">Lov og Rett, 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Vol. 46, 2007, p. 107.</w:t>
      </w:r>
    </w:p>
    <w:p w:rsidR="00AA2F33" w:rsidRPr="007320D3" w:rsidRDefault="00AA2F33" w:rsidP="00AA2F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Thomassen, Ø.,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Herlege Tider: Norsk Fysisk Planlegging 1930-1965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(PhD Thesis), Trondheim: NTNU, 1997.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Thue, L. &amp; Nilsen, Y.,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Statens Kraft 1965-2006: Miljø og Marked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Oslo: Universitetsforlaget, 2006.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Underkuffler, L.S., ‘Kelo’s moral failure’,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William &amp; Mary Bill of Rights Journal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>, Vol. 15, 2006, p. 377.</w:t>
      </w:r>
    </w:p>
    <w:p w:rsidR="00AA2F33" w:rsidRPr="007320D3" w:rsidRDefault="00AA2F33" w:rsidP="00AA2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:rsidR="00AA2F33" w:rsidRPr="007320D3" w:rsidRDefault="00AA2F33" w:rsidP="00AA2F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0"/>
          <w:szCs w:val="20"/>
          <w:lang w:val="en-GB" w:eastAsia="nb-NO"/>
        </w:rPr>
      </w:pP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Vislie, I., ‘Ekspropriasjon og Skjønn i Vassdrag’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in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Falkanger, T. &amp; Haagensen, K. (Eds.), </w:t>
      </w:r>
      <w:r w:rsidRPr="007320D3">
        <w:rPr>
          <w:rFonts w:ascii="Times New Roman" w:hAnsi="Times New Roman" w:cs="Times New Roman"/>
          <w:i/>
          <w:sz w:val="20"/>
          <w:szCs w:val="20"/>
          <w:lang w:val="en-GB"/>
        </w:rPr>
        <w:t>Vassdrags- og Energirett</w:t>
      </w:r>
      <w:r w:rsidRPr="007320D3">
        <w:rPr>
          <w:rFonts w:ascii="Times New Roman" w:hAnsi="Times New Roman" w:cs="Times New Roman"/>
          <w:sz w:val="20"/>
          <w:szCs w:val="20"/>
          <w:lang w:val="en-GB"/>
        </w:rPr>
        <w:t xml:space="preserve"> (2nd ed.), Oslo: Universitetsforlaget, 2002.</w:t>
      </w:r>
    </w:p>
    <w:p w:rsidR="00AD1724" w:rsidRDefault="00AA2F33"/>
    <w:sectPr w:rsidR="00AD1724" w:rsidSect="0094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A513B"/>
    <w:multiLevelType w:val="hybridMultilevel"/>
    <w:tmpl w:val="1248BEEA"/>
    <w:lvl w:ilvl="0" w:tplc="09BA819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33"/>
    <w:rsid w:val="005E03FE"/>
    <w:rsid w:val="00AA2F33"/>
    <w:rsid w:val="00DC20CB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D371-58BB-4917-8C6F-EC5668F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F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K Dyrkolbotn</dc:creator>
  <cp:keywords/>
  <dc:description/>
  <cp:lastModifiedBy>Sjur K Dyrkolbotn</cp:lastModifiedBy>
  <cp:revision>1</cp:revision>
  <dcterms:created xsi:type="dcterms:W3CDTF">2015-06-02T21:24:00Z</dcterms:created>
  <dcterms:modified xsi:type="dcterms:W3CDTF">2015-06-02T21:25:00Z</dcterms:modified>
</cp:coreProperties>
</file>