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FAFD7" w14:textId="77777777" w:rsidR="00515B6C" w:rsidRDefault="00713A09">
      <w:pPr>
        <w:pStyle w:val="Title"/>
      </w:pPr>
      <w:r>
        <w:t>Rockit 2025 Harvest</w:t>
      </w:r>
    </w:p>
    <w:p w14:paraId="15EFAFD8" w14:textId="77777777" w:rsidR="00515B6C" w:rsidRDefault="00713A09">
      <w:pPr>
        <w:pStyle w:val="Subtitle"/>
      </w:pPr>
      <w:r>
        <w:t>Weekly Commentary</w:t>
      </w:r>
    </w:p>
    <w:p w14:paraId="15EFAFD9" w14:textId="77777777" w:rsidR="00515B6C" w:rsidRDefault="00713A09">
      <w:pPr>
        <w:pStyle w:val="Date"/>
      </w:pPr>
      <w:r>
        <w:t>March 17, 2025</w:t>
      </w:r>
    </w:p>
    <w:p w14:paraId="15EFAFDA" w14:textId="77777777" w:rsidR="00515B6C" w:rsidRDefault="00713A09">
      <w:pPr>
        <w:pStyle w:val="Heading2"/>
      </w:pPr>
      <w:bookmarkStart w:id="0" w:name="introduction"/>
      <w:r>
        <w:t>Introduction</w:t>
      </w:r>
    </w:p>
    <w:p w14:paraId="15EFAFDB" w14:textId="77777777" w:rsidR="00515B6C" w:rsidRDefault="00713A09">
      <w:pPr>
        <w:pStyle w:val="FirstParagraph"/>
      </w:pPr>
      <w:r>
        <w:t xml:space="preserve">Picking (harvest) commenced on 11 February 2025 (compared to the 15 February 2024) as of the 17 March 2025, 50,731 bins had been harvested (compared to 32,043 for the same date in 2024). Bins are stored at Te </w:t>
      </w:r>
      <w:proofErr w:type="spellStart"/>
      <w:r>
        <w:t>Ipu</w:t>
      </w:r>
      <w:proofErr w:type="spellEnd"/>
      <w:r>
        <w:t xml:space="preserve">, </w:t>
      </w:r>
      <w:proofErr w:type="spellStart"/>
      <w:r>
        <w:t>Sunfruit</w:t>
      </w:r>
      <w:proofErr w:type="spellEnd"/>
      <w:r>
        <w:t xml:space="preserve"> and other third party </w:t>
      </w:r>
      <w:proofErr w:type="spellStart"/>
      <w:r>
        <w:t>coolstores</w:t>
      </w:r>
      <w:proofErr w:type="spellEnd"/>
      <w:r>
        <w:t xml:space="preserve"> as detailed in </w:t>
      </w:r>
      <w:hyperlink w:anchor="tbl-binsharvested">
        <w:r>
          <w:rPr>
            <w:rStyle w:val="Hyperlink"/>
          </w:rPr>
          <w:t>Table 1</w:t>
        </w:r>
      </w:hyperlink>
      <w:r>
        <w:t>.</w:t>
      </w:r>
    </w:p>
    <w:tbl>
      <w:tblPr>
        <w:tblStyle w:val="Table"/>
        <w:tblW w:w="5000" w:type="pct"/>
        <w:tblLayout w:type="fixed"/>
        <w:tblLook w:val="0000" w:firstRow="0" w:lastRow="0" w:firstColumn="0" w:lastColumn="0" w:noHBand="0" w:noVBand="0"/>
      </w:tblPr>
      <w:tblGrid>
        <w:gridCol w:w="9576"/>
      </w:tblGrid>
      <w:tr w:rsidR="00515B6C" w14:paraId="15EFAFFD" w14:textId="77777777">
        <w:tc>
          <w:tcPr>
            <w:tcW w:w="7920" w:type="dxa"/>
          </w:tcPr>
          <w:p w14:paraId="15EFAFDC" w14:textId="77777777" w:rsidR="00515B6C" w:rsidRDefault="00713A09">
            <w:pPr>
              <w:pStyle w:val="ImageCaption"/>
              <w:spacing w:before="200"/>
            </w:pPr>
            <w:bookmarkStart w:id="1" w:name="tbl-binsharvested"/>
            <w:r>
              <w:t>Table 1: Bins harvested up to 17 March 2025, by storage location compared to the same date in 2024</w:t>
            </w:r>
          </w:p>
          <w:tbl>
            <w:tblPr>
              <w:tblStyle w:val="Table"/>
              <w:tblW w:w="0" w:type="auto"/>
              <w:jc w:val="center"/>
              <w:tblLayout w:type="fixed"/>
              <w:tblLook w:val="0420" w:firstRow="1" w:lastRow="0" w:firstColumn="0" w:lastColumn="0" w:noHBand="0" w:noVBand="1"/>
            </w:tblPr>
            <w:tblGrid>
              <w:gridCol w:w="864"/>
              <w:gridCol w:w="1296"/>
              <w:gridCol w:w="1296"/>
              <w:gridCol w:w="1008"/>
              <w:gridCol w:w="864"/>
              <w:gridCol w:w="864"/>
              <w:gridCol w:w="864"/>
              <w:gridCol w:w="864"/>
              <w:gridCol w:w="864"/>
            </w:tblGrid>
            <w:tr w:rsidR="00515B6C" w14:paraId="15EFAFE6" w14:textId="77777777" w:rsidTr="00515B6C">
              <w:trPr>
                <w:cnfStyle w:val="100000000000" w:firstRow="1" w:lastRow="0" w:firstColumn="0" w:lastColumn="0" w:oddVBand="0" w:evenVBand="0" w:oddHBand="0" w:evenHBand="0" w:firstRowFirstColumn="0" w:firstRowLastColumn="0" w:lastRowFirstColumn="0" w:lastRowLastColumn="0"/>
                <w:tblHeader/>
                <w:jc w:val="center"/>
              </w:trPr>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DD"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DE"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Berl Property Ltd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DF"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Kirkwood Road</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E0"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proofErr w:type="spellStart"/>
                  <w:r>
                    <w:rPr>
                      <w:rFonts w:ascii="Arial" w:eastAsia="Arial" w:hAnsi="Arial" w:cs="Arial"/>
                      <w:b/>
                      <w:color w:val="000000"/>
                      <w:sz w:val="18"/>
                      <w:szCs w:val="18"/>
                    </w:rPr>
                    <w:t>Sunfruit</w:t>
                  </w:r>
                  <w:proofErr w:type="spellEnd"/>
                  <w:r>
                    <w:rPr>
                      <w:rFonts w:ascii="Arial" w:eastAsia="Arial" w:hAnsi="Arial" w:cs="Arial"/>
                      <w:b/>
                      <w:color w:val="000000"/>
                      <w:sz w:val="18"/>
                      <w:szCs w:val="18"/>
                    </w:rPr>
                    <w:t xml:space="preserve"> Limited</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E1"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East Site (TG)</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E2"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West Site</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E3"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 xml:space="preserve">Te </w:t>
                  </w:r>
                  <w:proofErr w:type="spellStart"/>
                  <w:r>
                    <w:rPr>
                      <w:rFonts w:ascii="Arial" w:eastAsia="Arial" w:hAnsi="Arial" w:cs="Arial"/>
                      <w:b/>
                      <w:color w:val="000000"/>
                      <w:sz w:val="18"/>
                      <w:szCs w:val="18"/>
                    </w:rPr>
                    <w:t>Ipu</w:t>
                  </w:r>
                  <w:proofErr w:type="spellEnd"/>
                  <w:r>
                    <w:rPr>
                      <w:rFonts w:ascii="Arial" w:eastAsia="Arial" w:hAnsi="Arial" w:cs="Arial"/>
                      <w:b/>
                      <w:color w:val="000000"/>
                      <w:sz w:val="18"/>
                      <w:szCs w:val="18"/>
                    </w:rPr>
                    <w:t xml:space="preserve"> Packhouse (RO)</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E4"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Kiwi crunch (FV)</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E5"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Total</w:t>
                  </w:r>
                </w:p>
              </w:tc>
            </w:tr>
            <w:tr w:rsidR="00515B6C" w14:paraId="15EFAFF0" w14:textId="77777777" w:rsidTr="00515B6C">
              <w:trPr>
                <w:jc w:val="center"/>
              </w:trPr>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7"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8"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2,568</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49</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A"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2,995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295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C"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618</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D"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25,518</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E"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AFEF"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32,043</w:t>
                  </w:r>
                </w:p>
              </w:tc>
            </w:tr>
            <w:tr w:rsidR="00515B6C" w14:paraId="15EFAFFA" w14:textId="77777777" w:rsidTr="00515B6C">
              <w:trPr>
                <w:jc w:val="center"/>
              </w:trPr>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1"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2"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3,468</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3"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849</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4"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14,963</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5"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6"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7"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31,311</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8"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140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AFF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50,731</w:t>
                  </w:r>
                </w:p>
              </w:tc>
            </w:tr>
            <w:tr w:rsidR="00515B6C" w14:paraId="15EFAFFC" w14:textId="77777777" w:rsidTr="00515B6C">
              <w:trPr>
                <w:jc w:val="center"/>
              </w:trPr>
              <w:tc>
                <w:tcPr>
                  <w:tcW w:w="8784" w:type="dxa"/>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EFAFF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1"/>
          </w:tbl>
          <w:p w14:paraId="15EFB063" w14:textId="77777777" w:rsidR="00713A09" w:rsidRDefault="00713A09">
            <w:pPr>
              <w:spacing w:after="0"/>
            </w:pPr>
          </w:p>
        </w:tc>
      </w:tr>
    </w:tbl>
    <w:p w14:paraId="15EFAFFE" w14:textId="16679365" w:rsidR="00515B6C" w:rsidRDefault="00713A09">
      <w:pPr>
        <w:pStyle w:val="BodyText"/>
      </w:pPr>
      <w:r>
        <w:t xml:space="preserve">The daily harvest rate is shown in </w:t>
      </w:r>
      <w:hyperlink w:anchor="fig-harvestRate">
        <w:r>
          <w:rPr>
            <w:rStyle w:val="Hyperlink"/>
          </w:rPr>
          <w:t>Figure 1</w:t>
        </w:r>
      </w:hyperlink>
      <w:r>
        <w:t xml:space="preserve"> where 2025 is compared to the </w:t>
      </w:r>
      <w:proofErr w:type="spellStart"/>
      <w:r>
        <w:t>the</w:t>
      </w:r>
      <w:proofErr w:type="spellEnd"/>
      <w:r>
        <w:t xml:space="preserve"> previous three years’ performance. The harvest commenced five days earlier in 2025 compared to 2024. The daily intake of bins has also been greater in the first 34 days of the 2025 season compared to 2024 with an average bins per day of 1,492 and 1,034 for 2025 and 2024 respectively. This is </w:t>
      </w:r>
      <w:r w:rsidR="0079567A">
        <w:t>principally</w:t>
      </w:r>
      <w:r>
        <w:t xml:space="preserve"> due to the quality of the harvest, specifically </w:t>
      </w:r>
      <w:proofErr w:type="spellStart"/>
      <w:r>
        <w:t>colour</w:t>
      </w:r>
      <w:proofErr w:type="spellEnd"/>
      <w:r>
        <w:t>, size and maturity allowing the picking teams to have a first pick of greater proportion than in previous years.</w:t>
      </w:r>
    </w:p>
    <w:tbl>
      <w:tblPr>
        <w:tblStyle w:val="Table"/>
        <w:tblW w:w="5000" w:type="pct"/>
        <w:tblLayout w:type="fixed"/>
        <w:tblLook w:val="0000" w:firstRow="0" w:lastRow="0" w:firstColumn="0" w:lastColumn="0" w:noHBand="0" w:noVBand="0"/>
      </w:tblPr>
      <w:tblGrid>
        <w:gridCol w:w="9576"/>
      </w:tblGrid>
      <w:tr w:rsidR="00515B6C" w14:paraId="15EFB001" w14:textId="77777777">
        <w:tc>
          <w:tcPr>
            <w:tcW w:w="7920" w:type="dxa"/>
          </w:tcPr>
          <w:p w14:paraId="15EFAFFF" w14:textId="77777777" w:rsidR="00515B6C" w:rsidRDefault="00713A09">
            <w:pPr>
              <w:pStyle w:val="Compact"/>
              <w:jc w:val="center"/>
            </w:pPr>
            <w:bookmarkStart w:id="2" w:name="fig-harvestRate"/>
            <w:r>
              <w:rPr>
                <w:noProof/>
              </w:rPr>
              <w:lastRenderedPageBreak/>
              <w:drawing>
                <wp:inline distT="0" distB="0" distL="0" distR="0" wp14:anchorId="15EFB063" wp14:editId="15EFB06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5EFB000" w14:textId="77777777" w:rsidR="00515B6C" w:rsidRDefault="00713A09">
            <w:pPr>
              <w:pStyle w:val="ImageCaption"/>
              <w:spacing w:before="200"/>
            </w:pPr>
            <w:r>
              <w:t>Figure 1: Rate of harvest to 17 March 2025 compared to the same dates for the previous three seasons</w:t>
            </w:r>
          </w:p>
        </w:tc>
        <w:bookmarkEnd w:id="2"/>
      </w:tr>
    </w:tbl>
    <w:p w14:paraId="15EFB002" w14:textId="77777777" w:rsidR="00515B6C" w:rsidRDefault="00713A09">
      <w:pPr>
        <w:pStyle w:val="Heading2"/>
      </w:pPr>
      <w:bookmarkStart w:id="3" w:name="packing-performance"/>
      <w:bookmarkEnd w:id="0"/>
      <w:r>
        <w:t>Packing Performance</w:t>
      </w:r>
    </w:p>
    <w:p w14:paraId="15EFB003" w14:textId="77777777" w:rsidR="00515B6C" w:rsidRDefault="00713A09">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515B6C" w14:paraId="15EFB015" w14:textId="77777777">
        <w:tc>
          <w:tcPr>
            <w:tcW w:w="7920" w:type="dxa"/>
          </w:tcPr>
          <w:p w14:paraId="15EFB004" w14:textId="77777777" w:rsidR="00515B6C" w:rsidRDefault="00713A09">
            <w:pPr>
              <w:pStyle w:val="ImageCaption"/>
              <w:spacing w:before="200"/>
            </w:pPr>
            <w:bookmarkStart w:id="4" w:name="tbl-binstipped"/>
            <w:r>
              <w:t>Table 2: Bins tipped by packing site up to Sunday 14th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515B6C" w14:paraId="15EFB008" w14:textId="77777777" w:rsidTr="00515B6C">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05"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06"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07"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515B6C" w14:paraId="15EFB00C" w14:textId="77777777" w:rsidTr="00515B6C">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0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Te </w:t>
                  </w:r>
                  <w:proofErr w:type="spellStart"/>
                  <w:r>
                    <w:rPr>
                      <w:rFonts w:ascii="Arial" w:eastAsia="Arial" w:hAnsi="Arial" w:cs="Arial"/>
                      <w:color w:val="000000"/>
                      <w:sz w:val="22"/>
                      <w:szCs w:val="22"/>
                    </w:rPr>
                    <w:t>Ipu</w:t>
                  </w:r>
                  <w:proofErr w:type="spellEnd"/>
                  <w:r>
                    <w:rPr>
                      <w:rFonts w:ascii="Arial" w:eastAsia="Arial" w:hAnsi="Arial" w:cs="Arial"/>
                      <w:color w:val="000000"/>
                      <w:sz w:val="22"/>
                      <w:szCs w:val="22"/>
                    </w:rPr>
                    <w:t xml:space="preserve"> Packhouse (RO)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0A"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3,838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0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5,551</w:t>
                  </w:r>
                </w:p>
              </w:tc>
            </w:tr>
            <w:tr w:rsidR="00515B6C" w14:paraId="15EFB010" w14:textId="77777777" w:rsidTr="00515B6C">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0D"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Sunfruit</w:t>
                  </w:r>
                  <w:proofErr w:type="spellEnd"/>
                  <w:r>
                    <w:rPr>
                      <w:rFonts w:ascii="Arial" w:eastAsia="Arial" w:hAnsi="Arial" w:cs="Arial"/>
                      <w:color w:val="000000"/>
                      <w:sz w:val="22"/>
                      <w:szCs w:val="22"/>
                    </w:rPr>
                    <w:t xml:space="preserve"> 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0E"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0F"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3,768</w:t>
                  </w:r>
                </w:p>
              </w:tc>
            </w:tr>
            <w:tr w:rsidR="00515B6C" w14:paraId="15EFB014" w14:textId="77777777" w:rsidTr="00515B6C">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EFB011"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EFB012"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3,838</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EFB013"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9,319</w:t>
                  </w:r>
                </w:p>
              </w:tc>
            </w:tr>
            <w:bookmarkEnd w:id="4"/>
          </w:tbl>
          <w:p w14:paraId="15EFB064" w14:textId="77777777" w:rsidR="00713A09" w:rsidRDefault="00713A09">
            <w:pPr>
              <w:spacing w:after="0"/>
            </w:pPr>
          </w:p>
        </w:tc>
      </w:tr>
    </w:tbl>
    <w:p w14:paraId="15EFB016" w14:textId="77777777" w:rsidR="00515B6C" w:rsidRDefault="00713A09">
      <w:pPr>
        <w:pStyle w:val="BodyText"/>
      </w:pPr>
      <w:r>
        <w:t xml:space="preserve">To date 9,319 bins have been tipped across the Te </w:t>
      </w:r>
      <w:proofErr w:type="spellStart"/>
      <w:r>
        <w:t>Ipu</w:t>
      </w:r>
      <w:proofErr w:type="spellEnd"/>
      <w:r>
        <w:t xml:space="preserve"> and </w:t>
      </w:r>
      <w:proofErr w:type="spellStart"/>
      <w:r>
        <w:t>Sunfruit</w:t>
      </w:r>
      <w:proofErr w:type="spellEnd"/>
      <w:r>
        <w:t xml:space="preserve"> sites. The numbers are detailed in </w:t>
      </w:r>
      <w:hyperlink w:anchor="tbl-binstipped">
        <w:r>
          <w:rPr>
            <w:rStyle w:val="Hyperlink"/>
          </w:rPr>
          <w:t>Table 2</w:t>
        </w:r>
      </w:hyperlink>
      <w:r>
        <w:t xml:space="preserve">. More than double the bins have been packed in 2025 compared to the same period in 2024. This is largely due to the early packing of the </w:t>
      </w:r>
      <w:proofErr w:type="spellStart"/>
      <w:r>
        <w:t>Sunfruit</w:t>
      </w:r>
      <w:proofErr w:type="spellEnd"/>
      <w:r>
        <w:t xml:space="preserve"> facility, but also the improved productivity of the Te </w:t>
      </w:r>
      <w:proofErr w:type="spellStart"/>
      <w:r>
        <w:t>Ipu</w:t>
      </w:r>
      <w:proofErr w:type="spellEnd"/>
      <w:r>
        <w:t xml:space="preserve"> facility.</w:t>
      </w:r>
    </w:p>
    <w:tbl>
      <w:tblPr>
        <w:tblStyle w:val="Table"/>
        <w:tblW w:w="5000" w:type="pct"/>
        <w:tblLayout w:type="fixed"/>
        <w:tblLook w:val="0000" w:firstRow="0" w:lastRow="0" w:firstColumn="0" w:lastColumn="0" w:noHBand="0" w:noVBand="0"/>
      </w:tblPr>
      <w:tblGrid>
        <w:gridCol w:w="9576"/>
      </w:tblGrid>
      <w:tr w:rsidR="00515B6C" w14:paraId="15EFB021" w14:textId="77777777">
        <w:tc>
          <w:tcPr>
            <w:tcW w:w="7920" w:type="dxa"/>
          </w:tcPr>
          <w:p w14:paraId="15EFB017" w14:textId="77777777" w:rsidR="00515B6C" w:rsidRDefault="00713A09">
            <w:pPr>
              <w:pStyle w:val="ImageCaption"/>
              <w:spacing w:before="200"/>
            </w:pPr>
            <w:bookmarkStart w:id="5" w:name="tbl-packout"/>
            <w:r>
              <w:t xml:space="preserve">Table 3: Aggregated </w:t>
            </w:r>
            <w:proofErr w:type="spellStart"/>
            <w:r>
              <w:t>packouts</w:t>
            </w:r>
            <w:proofErr w:type="spellEnd"/>
            <w:r>
              <w:t xml:space="preserve"> for packing to 17 March 2025 compared to the same date in </w:t>
            </w:r>
            <w:r>
              <w:lastRenderedPageBreak/>
              <w:t>2024</w:t>
            </w:r>
          </w:p>
          <w:tbl>
            <w:tblPr>
              <w:tblStyle w:val="Table"/>
              <w:tblW w:w="0" w:type="auto"/>
              <w:jc w:val="center"/>
              <w:tblLayout w:type="fixed"/>
              <w:tblLook w:val="0420" w:firstRow="1" w:lastRow="0" w:firstColumn="0" w:lastColumn="0" w:noHBand="0" w:noVBand="1"/>
            </w:tblPr>
            <w:tblGrid>
              <w:gridCol w:w="1080"/>
              <w:gridCol w:w="1080"/>
            </w:tblGrid>
            <w:tr w:rsidR="00515B6C" w14:paraId="15EFB01A" w14:textId="77777777" w:rsidTr="00515B6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18"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1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515B6C" w14:paraId="15EFB01D" w14:textId="77777777" w:rsidTr="00515B6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1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1C"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78.0%</w:t>
                  </w:r>
                </w:p>
              </w:tc>
            </w:tr>
            <w:tr w:rsidR="00515B6C" w14:paraId="15EFB020" w14:textId="77777777" w:rsidTr="00515B6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1E"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1F"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85.9%</w:t>
                  </w:r>
                </w:p>
              </w:tc>
            </w:tr>
            <w:bookmarkEnd w:id="5"/>
          </w:tbl>
          <w:p w14:paraId="15EFB065" w14:textId="77777777" w:rsidR="00713A09" w:rsidRDefault="00713A09">
            <w:pPr>
              <w:spacing w:after="0"/>
            </w:pPr>
          </w:p>
        </w:tc>
      </w:tr>
    </w:tbl>
    <w:p w14:paraId="15EFB022" w14:textId="77777777" w:rsidR="00515B6C" w:rsidRDefault="00713A09">
      <w:pPr>
        <w:pStyle w:val="BodyText"/>
      </w:pPr>
      <w:r>
        <w:lastRenderedPageBreak/>
        <w:t xml:space="preserve">Packout for the first three weeks of packing in 2025 can be calculated at 85.9% (Te </w:t>
      </w:r>
      <w:proofErr w:type="spellStart"/>
      <w:r>
        <w:t>Ipu</w:t>
      </w:r>
      <w:proofErr w:type="spellEnd"/>
      <w:r>
        <w:t xml:space="preserve"> batches only). This compares to 78.0% for the first 31 days of packing in 2024. The </w:t>
      </w:r>
      <w:proofErr w:type="spellStart"/>
      <w:r>
        <w:t>packouts</w:t>
      </w:r>
      <w:proofErr w:type="spellEnd"/>
      <w:r>
        <w:t xml:space="preserve"> for each season are listed in </w:t>
      </w:r>
      <w:hyperlink w:anchor="tbl-packout">
        <w:r>
          <w:rPr>
            <w:rStyle w:val="Hyperlink"/>
          </w:rPr>
          <w:t>Table 3</w:t>
        </w:r>
      </w:hyperlink>
      <w:r>
        <w:t xml:space="preserve">. The relatively high </w:t>
      </w:r>
      <w:proofErr w:type="spellStart"/>
      <w:r>
        <w:t>packouts</w:t>
      </w:r>
      <w:proofErr w:type="spellEnd"/>
      <w:r>
        <w:t xml:space="preserve"> are expected at the beginning of the season when the fruit is packed immediately without much storage time. As storage time increases the </w:t>
      </w:r>
      <w:proofErr w:type="spellStart"/>
      <w:r>
        <w:t>packout</w:t>
      </w:r>
      <w:proofErr w:type="spellEnd"/>
      <w:r>
        <w:t xml:space="preserve"> will also decrease.</w:t>
      </w:r>
    </w:p>
    <w:p w14:paraId="15EFB023" w14:textId="77777777" w:rsidR="00515B6C" w:rsidRDefault="00713A09">
      <w:pPr>
        <w:pStyle w:val="Heading2"/>
      </w:pPr>
      <w:bookmarkStart w:id="6" w:name="X65d0d5f72c67e66a0d8ae11784138ac046d70d8"/>
      <w:bookmarkEnd w:id="3"/>
      <w:r>
        <w:t>Packout loss as a function of storage days</w:t>
      </w:r>
    </w:p>
    <w:tbl>
      <w:tblPr>
        <w:tblStyle w:val="Table"/>
        <w:tblW w:w="5000" w:type="pct"/>
        <w:tblLayout w:type="fixed"/>
        <w:tblLook w:val="0000" w:firstRow="0" w:lastRow="0" w:firstColumn="0" w:lastColumn="0" w:noHBand="0" w:noVBand="0"/>
      </w:tblPr>
      <w:tblGrid>
        <w:gridCol w:w="9576"/>
      </w:tblGrid>
      <w:tr w:rsidR="00515B6C" w14:paraId="15EFB026" w14:textId="77777777">
        <w:tc>
          <w:tcPr>
            <w:tcW w:w="7920" w:type="dxa"/>
          </w:tcPr>
          <w:p w14:paraId="15EFB024" w14:textId="77777777" w:rsidR="00515B6C" w:rsidRDefault="00713A09">
            <w:pPr>
              <w:pStyle w:val="Compact"/>
              <w:jc w:val="center"/>
            </w:pPr>
            <w:bookmarkStart w:id="7" w:name="fig-PackoutVsStorageDays"/>
            <w:r>
              <w:rPr>
                <w:noProof/>
              </w:rPr>
              <w:drawing>
                <wp:inline distT="0" distB="0" distL="0" distR="0" wp14:anchorId="15EFB065" wp14:editId="15EFB066">
                  <wp:extent cx="4620126" cy="323408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15EFB025" w14:textId="77777777" w:rsidR="00515B6C" w:rsidRDefault="00713A09">
            <w:pPr>
              <w:pStyle w:val="ImageCaption"/>
              <w:spacing w:before="200"/>
            </w:pPr>
            <w:r>
              <w:t>Figure 2: Packout as a function of storage days for 0 to 26 storage days including seasons 2022 to 2025</w:t>
            </w:r>
          </w:p>
        </w:tc>
        <w:bookmarkEnd w:id="7"/>
      </w:tr>
    </w:tbl>
    <w:p w14:paraId="15EFB027" w14:textId="77777777" w:rsidR="00515B6C" w:rsidRDefault="00713A09">
      <w:pPr>
        <w:pStyle w:val="BodyText"/>
      </w:pPr>
      <w:r>
        <w:t xml:space="preserve">As storage days increase </w:t>
      </w:r>
      <w:proofErr w:type="spellStart"/>
      <w:r>
        <w:t>packout</w:t>
      </w:r>
      <w:proofErr w:type="spellEnd"/>
      <w:r>
        <w:t xml:space="preserve"> generally decreases. This was, quite dramatically, observed in 2024 where almost immediately packing commenced the </w:t>
      </w:r>
      <w:proofErr w:type="spellStart"/>
      <w:r>
        <w:t>packout</w:t>
      </w:r>
      <w:proofErr w:type="spellEnd"/>
      <w:r>
        <w:t xml:space="preserve"> started falling by almost 0.6% per day. Hitherto in 2025, </w:t>
      </w:r>
      <w:proofErr w:type="spellStart"/>
      <w:r>
        <w:t>packout</w:t>
      </w:r>
      <w:proofErr w:type="spellEnd"/>
      <w:r>
        <w:t xml:space="preserve"> as a function of storage days shows a mean slope of 0.14% per day (i.e. in 2024, </w:t>
      </w:r>
      <w:proofErr w:type="spellStart"/>
      <w:r>
        <w:t>packout</w:t>
      </w:r>
      <w:proofErr w:type="spellEnd"/>
      <w:r>
        <w:t xml:space="preserve"> was falling at more than four times the rate observed in 2025 YTD). 2022 and 2023 data is also presented. The early rate of decline is less than 2024 for 2022 and 2023 (2023 shows a small increase in </w:t>
      </w:r>
      <w:proofErr w:type="spellStart"/>
      <w:r>
        <w:t>packout</w:t>
      </w:r>
      <w:proofErr w:type="spellEnd"/>
      <w:r>
        <w:t xml:space="preserve"> during the early packing). The overall modeled </w:t>
      </w:r>
      <w:proofErr w:type="spellStart"/>
      <w:r>
        <w:t>packout</w:t>
      </w:r>
      <w:proofErr w:type="spellEnd"/>
      <w:r>
        <w:t xml:space="preserve"> is </w:t>
      </w:r>
      <w:proofErr w:type="spellStart"/>
      <w:r>
        <w:t>hightest</w:t>
      </w:r>
      <w:proofErr w:type="spellEnd"/>
      <w:r>
        <w:t xml:space="preserve"> for 2025 compared to the previous three years.</w:t>
      </w:r>
    </w:p>
    <w:tbl>
      <w:tblPr>
        <w:tblStyle w:val="Table"/>
        <w:tblW w:w="5000" w:type="pct"/>
        <w:tblLayout w:type="fixed"/>
        <w:tblLook w:val="0000" w:firstRow="0" w:lastRow="0" w:firstColumn="0" w:lastColumn="0" w:noHBand="0" w:noVBand="0"/>
      </w:tblPr>
      <w:tblGrid>
        <w:gridCol w:w="9576"/>
      </w:tblGrid>
      <w:tr w:rsidR="00515B6C" w14:paraId="15EFB03D" w14:textId="77777777">
        <w:tc>
          <w:tcPr>
            <w:tcW w:w="7920" w:type="dxa"/>
          </w:tcPr>
          <w:p w14:paraId="15EFB028" w14:textId="77777777" w:rsidR="00515B6C" w:rsidRDefault="00713A09">
            <w:pPr>
              <w:pStyle w:val="ImageCaption"/>
              <w:spacing w:before="200"/>
            </w:pPr>
            <w:bookmarkStart w:id="8" w:name="tbl-packoutvsStorageDays"/>
            <w:r>
              <w:lastRenderedPageBreak/>
              <w:t xml:space="preserve">Table 4: modeled baseline (zero storage days) and mean </w:t>
            </w:r>
            <w:proofErr w:type="spellStart"/>
            <w:r>
              <w:t>packout</w:t>
            </w:r>
            <w:proofErr w:type="spellEnd"/>
            <w:r>
              <w:t xml:space="preserve">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515B6C" w14:paraId="15EFB02C" w14:textId="77777777" w:rsidTr="00515B6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2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2A"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2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515B6C" w14:paraId="15EFB030" w14:textId="77777777" w:rsidTr="00515B6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2D"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2E"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84.4%</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2F"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-0.24%</w:t>
                  </w:r>
                </w:p>
              </w:tc>
            </w:tr>
            <w:tr w:rsidR="00515B6C" w14:paraId="15EFB034" w14:textId="77777777" w:rsidTr="00515B6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31"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32"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33"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0.15%</w:t>
                  </w:r>
                </w:p>
              </w:tc>
            </w:tr>
            <w:tr w:rsidR="00515B6C" w14:paraId="15EFB038" w14:textId="77777777" w:rsidTr="00515B6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35"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36"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81.7%</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37"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-0.57%</w:t>
                  </w:r>
                </w:p>
              </w:tc>
            </w:tr>
            <w:tr w:rsidR="00515B6C" w14:paraId="15EFB03C" w14:textId="77777777" w:rsidTr="00515B6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3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3A"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86.6%</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3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-0.14%</w:t>
                  </w:r>
                </w:p>
              </w:tc>
            </w:tr>
            <w:bookmarkEnd w:id="8"/>
          </w:tbl>
          <w:p w14:paraId="15EFB066" w14:textId="77777777" w:rsidR="00713A09" w:rsidRDefault="00713A09">
            <w:pPr>
              <w:spacing w:after="0"/>
            </w:pPr>
          </w:p>
        </w:tc>
      </w:tr>
    </w:tbl>
    <w:p w14:paraId="7ED87B59" w14:textId="77777777" w:rsidR="00A510FD" w:rsidRDefault="00A510FD">
      <w:pPr>
        <w:pStyle w:val="Heading2"/>
      </w:pPr>
      <w:bookmarkStart w:id="9" w:name="defect-profile"/>
      <w:bookmarkEnd w:id="6"/>
    </w:p>
    <w:p w14:paraId="0B1EB774" w14:textId="77777777" w:rsidR="00A510FD" w:rsidRDefault="00A510FD">
      <w:pPr>
        <w:rPr>
          <w:rFonts w:asciiTheme="majorHAnsi" w:eastAsiaTheme="majorEastAsia" w:hAnsiTheme="majorHAnsi" w:cstheme="majorBidi"/>
          <w:color w:val="0F4761" w:themeColor="accent1" w:themeShade="BF"/>
          <w:sz w:val="32"/>
          <w:szCs w:val="32"/>
        </w:rPr>
      </w:pPr>
      <w:r>
        <w:br w:type="page"/>
      </w:r>
    </w:p>
    <w:p w14:paraId="15EFB03E" w14:textId="5200FE0A" w:rsidR="00515B6C" w:rsidRDefault="00713A09">
      <w:pPr>
        <w:pStyle w:val="Heading2"/>
      </w:pPr>
      <w:r>
        <w:lastRenderedPageBreak/>
        <w:t>Defect profile</w:t>
      </w:r>
    </w:p>
    <w:p w14:paraId="15EFB03F" w14:textId="77777777" w:rsidR="00515B6C" w:rsidRDefault="00713A09">
      <w:pPr>
        <w:pStyle w:val="FirstParagraph"/>
      </w:pPr>
      <w:r>
        <w:t xml:space="preserve">The top 15 defects for fruit packed at 17 March 2025. The histogram presented in </w:t>
      </w:r>
      <w:hyperlink w:anchor="fig-DefectProfile">
        <w:r>
          <w:rPr>
            <w:rStyle w:val="Hyperlink"/>
          </w:rPr>
          <w:t>Figure 3</w:t>
        </w:r>
      </w:hyperlink>
      <w:r>
        <w:t xml:space="preserve"> also includes the </w:t>
      </w:r>
      <w:proofErr w:type="spellStart"/>
      <w:r>
        <w:t>the</w:t>
      </w:r>
      <w:proofErr w:type="spellEnd"/>
      <w:r>
        <w:t xml:space="preserve"> same defects for the same pack dates in 2024. Note that the data only incudes batches run through Te </w:t>
      </w:r>
      <w:proofErr w:type="spellStart"/>
      <w:r>
        <w:t>Ipu</w:t>
      </w:r>
      <w:proofErr w:type="spellEnd"/>
      <w:r>
        <w:t>.</w:t>
      </w:r>
    </w:p>
    <w:tbl>
      <w:tblPr>
        <w:tblStyle w:val="Table"/>
        <w:tblW w:w="5000" w:type="pct"/>
        <w:tblLayout w:type="fixed"/>
        <w:tblLook w:val="0000" w:firstRow="0" w:lastRow="0" w:firstColumn="0" w:lastColumn="0" w:noHBand="0" w:noVBand="0"/>
      </w:tblPr>
      <w:tblGrid>
        <w:gridCol w:w="9576"/>
      </w:tblGrid>
      <w:tr w:rsidR="00515B6C" w14:paraId="15EFB042" w14:textId="77777777">
        <w:tc>
          <w:tcPr>
            <w:tcW w:w="7920" w:type="dxa"/>
          </w:tcPr>
          <w:p w14:paraId="15EFB040" w14:textId="77777777" w:rsidR="00515B6C" w:rsidRDefault="00713A09">
            <w:pPr>
              <w:pStyle w:val="Compact"/>
              <w:jc w:val="center"/>
            </w:pPr>
            <w:bookmarkStart w:id="10" w:name="fig-DefectProfile"/>
            <w:r>
              <w:rPr>
                <w:noProof/>
              </w:rPr>
              <w:drawing>
                <wp:inline distT="0" distB="0" distL="0" distR="0" wp14:anchorId="15EFB067" wp14:editId="15EFB068">
                  <wp:extent cx="4620126" cy="508213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15EFB041" w14:textId="77777777" w:rsidR="00515B6C" w:rsidRDefault="00713A09">
            <w:pPr>
              <w:pStyle w:val="ImageCaption"/>
              <w:spacing w:before="200"/>
            </w:pPr>
            <w:r>
              <w:t xml:space="preserve">Figure 3: Defect profile (top 15 defects) from closed batches from packing to 17 March 2025. The 2024 profile for the same </w:t>
            </w:r>
            <w:proofErr w:type="spellStart"/>
            <w:r>
              <w:t>defcets</w:t>
            </w:r>
            <w:proofErr w:type="spellEnd"/>
            <w:r>
              <w:t xml:space="preserve"> and pack dates is plotted for comparison.</w:t>
            </w:r>
          </w:p>
        </w:tc>
        <w:bookmarkEnd w:id="10"/>
      </w:tr>
    </w:tbl>
    <w:p w14:paraId="15EFB043" w14:textId="77777777" w:rsidR="00515B6C" w:rsidRDefault="00713A09">
      <w:pPr>
        <w:pStyle w:val="BodyText"/>
      </w:pPr>
      <w:r>
        <w:t xml:space="preserve">When contrasting the 2024 and 2025 defect profile, of particular note is the difference between stem tears, punctures and russet, which are all lower than the equivalent period in 2024. Anecdotally the stems are longer and more flexible than in 2024. Undersize, cuts and sunburn are also substantially lower than 2024 which </w:t>
      </w:r>
      <w:proofErr w:type="spellStart"/>
      <w:r>
        <w:t>reflectes</w:t>
      </w:r>
      <w:proofErr w:type="spellEnd"/>
      <w:r>
        <w:t xml:space="preserve"> the growing season and improved fruit handling.</w:t>
      </w:r>
    </w:p>
    <w:p w14:paraId="4E7B9411" w14:textId="77777777" w:rsidR="00A510FD" w:rsidRDefault="00A510FD">
      <w:pPr>
        <w:rPr>
          <w:rFonts w:asciiTheme="majorHAnsi" w:eastAsiaTheme="majorEastAsia" w:hAnsiTheme="majorHAnsi" w:cstheme="majorBidi"/>
          <w:color w:val="0F4761" w:themeColor="accent1" w:themeShade="BF"/>
          <w:sz w:val="32"/>
          <w:szCs w:val="32"/>
        </w:rPr>
      </w:pPr>
      <w:bookmarkStart w:id="11" w:name="phytosanitary-performance"/>
      <w:bookmarkEnd w:id="9"/>
      <w:r>
        <w:br w:type="page"/>
      </w:r>
    </w:p>
    <w:p w14:paraId="15EFB044" w14:textId="278C5A93" w:rsidR="00515B6C" w:rsidRDefault="00713A09">
      <w:pPr>
        <w:pStyle w:val="Heading2"/>
      </w:pPr>
      <w:r>
        <w:lastRenderedPageBreak/>
        <w:t>Phytosanitary Performance</w:t>
      </w:r>
    </w:p>
    <w:tbl>
      <w:tblPr>
        <w:tblStyle w:val="Table"/>
        <w:tblW w:w="5000" w:type="pct"/>
        <w:tblLayout w:type="fixed"/>
        <w:tblLook w:val="0000" w:firstRow="0" w:lastRow="0" w:firstColumn="0" w:lastColumn="0" w:noHBand="0" w:noVBand="0"/>
      </w:tblPr>
      <w:tblGrid>
        <w:gridCol w:w="9576"/>
      </w:tblGrid>
      <w:tr w:rsidR="00515B6C" w14:paraId="15EFB058" w14:textId="77777777">
        <w:tc>
          <w:tcPr>
            <w:tcW w:w="7920" w:type="dxa"/>
          </w:tcPr>
          <w:p w14:paraId="15EFB045" w14:textId="77777777" w:rsidR="00515B6C" w:rsidRDefault="00713A09">
            <w:pPr>
              <w:pStyle w:val="ImageCaption"/>
              <w:spacing w:before="200"/>
            </w:pPr>
            <w:bookmarkStart w:id="12" w:name="tbl-phytoSummary"/>
            <w:r>
              <w:t>Table 5: Phytosanitary performance for packing to 17 March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515B6C" w14:paraId="15EFB048" w14:textId="77777777" w:rsidTr="00515B6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46"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47"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515B6C" w14:paraId="15EFB04D" w14:textId="77777777" w:rsidTr="00515B6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49"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4A"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4B"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4C"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515B6C" w14:paraId="15EFB052" w14:textId="77777777" w:rsidTr="00515B6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4E"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4F"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50"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B051"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28.5%</w:t>
                  </w:r>
                </w:p>
              </w:tc>
            </w:tr>
            <w:tr w:rsidR="00515B6C" w14:paraId="15EFB057" w14:textId="77777777" w:rsidTr="00515B6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53"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54"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55"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FB056" w14:textId="77777777" w:rsidR="00515B6C" w:rsidRDefault="00713A09">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11.7%</w:t>
                  </w:r>
                </w:p>
              </w:tc>
            </w:tr>
            <w:bookmarkEnd w:id="12"/>
          </w:tbl>
          <w:p w14:paraId="15EFB067" w14:textId="77777777" w:rsidR="00713A09" w:rsidRDefault="00713A09">
            <w:pPr>
              <w:spacing w:after="0"/>
            </w:pPr>
          </w:p>
        </w:tc>
      </w:tr>
    </w:tbl>
    <w:p w14:paraId="15EFB059" w14:textId="77777777" w:rsidR="00515B6C" w:rsidRDefault="00713A09">
      <w:pPr>
        <w:pStyle w:val="BodyText"/>
      </w:pPr>
      <w:hyperlink w:anchor="tbl-phytoSummary">
        <w:r>
          <w:rPr>
            <w:rStyle w:val="Hyperlink"/>
          </w:rPr>
          <w:t>Table 5</w:t>
        </w:r>
      </w:hyperlink>
      <w:r>
        <w:t xml:space="preserve"> shows the relative phytosanitary performance of MPI lots (these are sub-batches which are individually evaluated for phytosanitary pests and diseases) for the first 31 days of packing in 2025 compared to 2024. As can be observed 40 MPI lots out of 343 lots (11.7%) suffered a phytosanitary pest interception (mainly ALCM). This compares to 28.5% observed for the same dates in 2024. Note the complete absence, to date of Blackspot in 2025. A pest that played a significant role in determining market exclusion in 2024.</w:t>
      </w:r>
    </w:p>
    <w:tbl>
      <w:tblPr>
        <w:tblStyle w:val="Table"/>
        <w:tblW w:w="5000" w:type="pct"/>
        <w:tblLayout w:type="fixed"/>
        <w:tblLook w:val="0000" w:firstRow="0" w:lastRow="0" w:firstColumn="0" w:lastColumn="0" w:noHBand="0" w:noVBand="0"/>
      </w:tblPr>
      <w:tblGrid>
        <w:gridCol w:w="9576"/>
      </w:tblGrid>
      <w:tr w:rsidR="00515B6C" w14:paraId="15EFB05C" w14:textId="77777777">
        <w:tc>
          <w:tcPr>
            <w:tcW w:w="7920" w:type="dxa"/>
          </w:tcPr>
          <w:p w14:paraId="15EFB05A" w14:textId="77777777" w:rsidR="00515B6C" w:rsidRDefault="00713A09">
            <w:pPr>
              <w:pStyle w:val="Compact"/>
              <w:jc w:val="center"/>
            </w:pPr>
            <w:bookmarkStart w:id="13" w:name="fig-PestInterceptions"/>
            <w:r>
              <w:rPr>
                <w:noProof/>
              </w:rPr>
              <w:drawing>
                <wp:inline distT="0" distB="0" distL="0" distR="0" wp14:anchorId="15EFB069" wp14:editId="1FA571AA">
                  <wp:extent cx="4324350" cy="29622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nterim2025HarvestUpdate_files/figure-docx/fig-PestInterceptions-1.png"/>
                          <pic:cNvPicPr>
                            <a:picLocks noChangeAspect="1" noChangeArrowheads="1"/>
                          </pic:cNvPicPr>
                        </pic:nvPicPr>
                        <pic:blipFill>
                          <a:blip r:embed="rId8"/>
                          <a:stretch>
                            <a:fillRect/>
                          </a:stretch>
                        </pic:blipFill>
                        <pic:spPr bwMode="auto">
                          <a:xfrm>
                            <a:off x="0" y="0"/>
                            <a:ext cx="4324820" cy="2962597"/>
                          </a:xfrm>
                          <a:prstGeom prst="rect">
                            <a:avLst/>
                          </a:prstGeom>
                          <a:noFill/>
                          <a:ln w="9525">
                            <a:noFill/>
                            <a:headEnd/>
                            <a:tailEnd/>
                          </a:ln>
                        </pic:spPr>
                      </pic:pic>
                    </a:graphicData>
                  </a:graphic>
                </wp:inline>
              </w:drawing>
            </w:r>
          </w:p>
          <w:p w14:paraId="15EFB05B" w14:textId="77777777" w:rsidR="00515B6C" w:rsidRDefault="00713A09">
            <w:pPr>
              <w:pStyle w:val="ImageCaption"/>
              <w:spacing w:before="200"/>
            </w:pPr>
            <w:r>
              <w:t>Figure 4: Total pest interceptions by pest type to 17 March 2025 compared to the same date in 2024</w:t>
            </w:r>
          </w:p>
        </w:tc>
        <w:bookmarkEnd w:id="13"/>
      </w:tr>
    </w:tbl>
    <w:p w14:paraId="5CE774E3" w14:textId="1048B162" w:rsidR="00A510FD" w:rsidRDefault="00713A09" w:rsidP="00713A09">
      <w:pPr>
        <w:pStyle w:val="BodyText"/>
        <w:rPr>
          <w:rFonts w:asciiTheme="majorHAnsi" w:eastAsiaTheme="majorEastAsia" w:hAnsiTheme="majorHAnsi" w:cstheme="majorBidi"/>
          <w:color w:val="0F4761" w:themeColor="accent1" w:themeShade="BF"/>
          <w:sz w:val="32"/>
          <w:szCs w:val="32"/>
        </w:rPr>
      </w:pPr>
      <w:r>
        <w:t xml:space="preserve">The total pest interceptions by pest is give in </w:t>
      </w:r>
      <w:hyperlink w:anchor="fig-PestInterceptions">
        <w:r>
          <w:rPr>
            <w:rStyle w:val="Hyperlink"/>
          </w:rPr>
          <w:t>Figure 4</w:t>
        </w:r>
      </w:hyperlink>
      <w:r>
        <w:t xml:space="preserve">. Given the number of MPI lots packed to 17 March 2025 compared to 2024. The number of </w:t>
      </w:r>
      <w:proofErr w:type="spellStart"/>
      <w:r>
        <w:t>inteceptions</w:t>
      </w:r>
      <w:proofErr w:type="spellEnd"/>
      <w:r>
        <w:t xml:space="preserve"> is running well below 2024. Of particular note is the complete absence of Blackspot in 2025 compared to 2024. Blackspot became the most prevalent intercepted pest across the 2024 season.</w:t>
      </w:r>
      <w:bookmarkStart w:id="14" w:name="fruit-size-distribution"/>
      <w:bookmarkEnd w:id="11"/>
      <w:r w:rsidR="00A510FD">
        <w:br w:type="page"/>
      </w:r>
    </w:p>
    <w:p w14:paraId="15EFB05E" w14:textId="34708D3F" w:rsidR="00515B6C" w:rsidRDefault="00713A09">
      <w:pPr>
        <w:pStyle w:val="Heading2"/>
      </w:pPr>
      <w:r>
        <w:lastRenderedPageBreak/>
        <w:t>Fruit size distribution</w:t>
      </w:r>
    </w:p>
    <w:tbl>
      <w:tblPr>
        <w:tblStyle w:val="Table"/>
        <w:tblW w:w="5000" w:type="pct"/>
        <w:tblLayout w:type="fixed"/>
        <w:tblLook w:val="0000" w:firstRow="0" w:lastRow="0" w:firstColumn="0" w:lastColumn="0" w:noHBand="0" w:noVBand="0"/>
      </w:tblPr>
      <w:tblGrid>
        <w:gridCol w:w="9576"/>
      </w:tblGrid>
      <w:tr w:rsidR="00515B6C" w14:paraId="15EFB061" w14:textId="77777777">
        <w:tc>
          <w:tcPr>
            <w:tcW w:w="7920" w:type="dxa"/>
          </w:tcPr>
          <w:p w14:paraId="15EFB05F" w14:textId="77777777" w:rsidR="00515B6C" w:rsidRDefault="00713A09">
            <w:pPr>
              <w:pStyle w:val="Compact"/>
              <w:jc w:val="center"/>
            </w:pPr>
            <w:bookmarkStart w:id="15" w:name="fig-sizeDistribution"/>
            <w:r>
              <w:rPr>
                <w:noProof/>
              </w:rPr>
              <w:drawing>
                <wp:inline distT="0" distB="0" distL="0" distR="0" wp14:anchorId="15EFB06B" wp14:editId="15EFB06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EFB060" w14:textId="77777777" w:rsidR="00515B6C" w:rsidRDefault="00713A09">
            <w:pPr>
              <w:pStyle w:val="ImageCaption"/>
              <w:spacing w:before="200"/>
            </w:pPr>
            <w:r>
              <w:t>Figure 5: apple size distribution (measured by equatorial diameter) for fruit packed up to 17 March 2025 compared with the same date for the previous three seasons</w:t>
            </w:r>
          </w:p>
        </w:tc>
        <w:bookmarkEnd w:id="15"/>
      </w:tr>
    </w:tbl>
    <w:p w14:paraId="15EFB062" w14:textId="77777777" w:rsidR="00515B6C" w:rsidRDefault="00713A09">
      <w:pPr>
        <w:pStyle w:val="BodyText"/>
      </w:pPr>
      <w:r>
        <w:t xml:space="preserve">Size distribution is generally measured using the equatorial diameter of the apple. The respective distributions for 2022 through 2025 seasons (note these included batches packed up to 17 March for each season) are shown in </w:t>
      </w:r>
      <w:hyperlink w:anchor="fig-sizeDistribution">
        <w:r>
          <w:rPr>
            <w:rStyle w:val="Hyperlink"/>
          </w:rPr>
          <w:t>Figure 5</w:t>
        </w:r>
      </w:hyperlink>
      <w:r>
        <w:t>. Note the close correspondence of the 2022, 2023 and 2025 season (around 57mm) compared to the 2024 season (55mm). Note that the early fruit size will develop and likely increase as the season progresses.</w:t>
      </w:r>
      <w:bookmarkEnd w:id="14"/>
    </w:p>
    <w:sectPr w:rsidR="00515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E72CB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6540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15B6C"/>
    <w:rsid w:val="00515B6C"/>
    <w:rsid w:val="00713A09"/>
    <w:rsid w:val="0079567A"/>
    <w:rsid w:val="009B1D4E"/>
    <w:rsid w:val="00A378A1"/>
    <w:rsid w:val="00A510FD"/>
    <w:rsid w:val="00DD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AFD7"/>
  <w15:docId w15:val="{6631D7F0-E4CE-49A7-80B7-81541B54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Rockit 2025 Harvest</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3</cp:revision>
  <dcterms:created xsi:type="dcterms:W3CDTF">2025-03-16T18:48:00Z</dcterms:created>
  <dcterms:modified xsi:type="dcterms:W3CDTF">2025-03-16T19:44:00Z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March 17,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