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Response to Request for Proposal — AWS Cloud Migration</w:t>
      </w:r>
    </w:p>
    <w:p>
      <w:pPr>
        <w:spacing w:after="300"/>
      </w:pPr>
      <w:r>
        <w:rPr>
          <w:b/>
          <w:bCs/>
        </w:rPr>
        <w:t xml:space="preserve">Apex Systems Integrators</w:t>
      </w:r>
      <w:r>
        <w:t xml:space="preserve"> — Vendor Proposal</w:t>
      </w:r>
    </w:p>
    <w:p>
      <w:pPr>
        <w:pStyle w:val="Heading2"/>
      </w:pPr>
      <w:r>
        <w:t xml:space="preserve">Executive Summary</w:t>
      </w:r>
    </w:p>
    <w:p>
      <w:pPr>
        <w:spacing w:after="200"/>
      </w:pPr>
      <w:r>
        <w:t xml:space="preserve">Apex Systems Integrators offers accelerated 4-month delivery for $155,000 USD. A dedicated pod of 10 engineers includes 5 AWS-certified specialists using automated refactoring tooling and blue/green deployments.</w:t>
      </w:r>
    </w:p>
    <w:p>
      <w:pPr>
        <w:pStyle w:val="Heading2"/>
      </w:pPr>
      <w:r>
        <w:t xml:space="preserve">Commercial Offer</w:t>
      </w:r>
    </w:p>
    <w:p>
      <w:pPr>
        <w:spacing w:after="80"/>
      </w:pPr>
      <w:r>
        <w:t xml:space="preserve">• Total proposal: $155,000 USD (premium for accelerated delivery)</w:t>
      </w:r>
    </w:p>
    <w:p>
      <w:pPr>
        <w:spacing w:after="80"/>
      </w:pPr>
      <w:r>
        <w:t xml:space="preserve">• Timeline: 4 months — fastest delivery option</w:t>
      </w:r>
    </w:p>
    <w:p>
      <w:pPr>
        <w:spacing w:after="80"/>
      </w:pPr>
      <w:r>
        <w:t xml:space="preserve">• Team size: 10 engineers in a dedicated migration pod</w:t>
      </w:r>
    </w:p>
    <w:p>
      <w:pPr>
        <w:spacing w:after="80"/>
      </w:pPr>
      <w:r>
        <w:t xml:space="preserve">• Year 2 support quoted separately at higher tier than peers</w:t>
      </w:r>
    </w:p>
    <w:p>
      <w:pPr>
        <w:pStyle w:val="Heading2"/>
      </w:pPr>
      <w:r>
        <w:t xml:space="preserve">Technical Approach</w:t>
      </w:r>
    </w:p>
    <w:p>
      <w:pPr>
        <w:spacing w:after="200"/>
      </w:pPr>
      <w:r>
        <w:t xml:space="preserve">Blue/green deployments target under 2 hours downtime per application. US-only deployment with encryption at rest via AWS KMS. Automated refactoring tooling reduces manual lift for compatible workloads.</w:t>
      </w:r>
    </w:p>
    <w:p>
      <w:pPr>
        <w:pStyle w:val="Heading2"/>
      </w:pPr>
      <w:r>
        <w:t xml:space="preserve">Compliance Statement</w:t>
      </w:r>
    </w:p>
    <w:p>
      <w:pPr>
        <w:spacing w:after="80"/>
      </w:pPr>
      <w:r>
        <w:t xml:space="preserve">• AWS-certified migration team: MET — 5 AWS-certified specialists</w:t>
      </w:r>
    </w:p>
    <w:p>
      <w:pPr>
        <w:spacing w:after="80"/>
      </w:pPr>
      <w:r>
        <w:t xml:space="preserve">• Timeline within 6 months: MET — 4-month accelerated plan</w:t>
      </w:r>
    </w:p>
    <w:p>
      <w:pPr>
        <w:spacing w:after="80"/>
      </w:pPr>
      <w:r>
        <w:t xml:space="preserve">• Budget cap $150,000 USD: NOT MET — $155,000 (5% over cap)</w:t>
      </w:r>
    </w:p>
    <w:p>
      <w:pPr>
        <w:spacing w:after="80"/>
      </w:pPr>
      <w:r>
        <w:t xml:space="preserve">• Minimal downtime (&lt; 4 hours per app): MET — blue/green &lt; 2 hours</w:t>
      </w:r>
    </w:p>
    <w:p>
      <w:pPr>
        <w:spacing w:after="80"/>
      </w:pPr>
      <w:r>
        <w:t xml:space="preserve">• Data residency in US regions: MET — US-only, KMS encryption</w:t>
      </w:r>
    </w:p>
    <w:p>
      <w:pPr>
        <w:spacing w:before="400"/>
      </w:pPr>
      <w:r>
        <w:rPr>
          <w:i/>
          <w:iCs/>
        </w:rPr>
        <w:t xml:space="preserve">Submitted for evaluation purposes — ProcureAI demo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2026-06-26T08:46:12.271Z</dcterms:created>
  <dcterms:modified xsi:type="dcterms:W3CDTF">2026-06-26T08:46:12.271Z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