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Response to Request for Proposal — AWS Cloud Migration</w:t>
      </w:r>
    </w:p>
    <w:p>
      <w:pPr>
        <w:spacing w:after="300"/>
      </w:pPr>
      <w:r>
        <w:rPr>
          <w:b/>
          <w:bCs/>
        </w:rPr>
        <w:t xml:space="preserve">CloudTech Solutions</w:t>
      </w:r>
      <w:r>
        <w:t xml:space="preserve"> — Vendor Proposal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CloudTech Solutions proposes a fixed-price AWS migration program at $142,500 USD over 5 months. Our team includes 8 engineers with 4 AWS Professional Architects who have delivered 50+ enterprise migrations. The offer includes 12 months of hypercare support post go-live.</w:t>
      </w:r>
    </w:p>
    <w:p>
      <w:pPr>
        <w:pStyle w:val="Heading2"/>
      </w:pPr>
      <w:r>
        <w:t xml:space="preserve">Commercial Offer</w:t>
      </w:r>
    </w:p>
    <w:p>
      <w:pPr>
        <w:spacing w:after="80"/>
      </w:pPr>
      <w:r>
        <w:t xml:space="preserve">• Total fixed price: $142,500 USD (under $150,000 budget cap)</w:t>
      </w:r>
    </w:p>
    <w:p>
      <w:pPr>
        <w:spacing w:after="80"/>
      </w:pPr>
      <w:r>
        <w:t xml:space="preserve">• Payment: 30% on contract, 40% at wave 2 go-live, 30% at final acceptance</w:t>
      </w:r>
    </w:p>
    <w:p>
      <w:pPr>
        <w:spacing w:after="80"/>
      </w:pPr>
      <w:r>
        <w:t xml:space="preserve">• Timeline: 5 months with go-live targeted by November 2026</w:t>
      </w:r>
    </w:p>
    <w:p>
      <w:pPr>
        <w:spacing w:after="80"/>
      </w:pPr>
      <w:r>
        <w:t xml:space="preserve">• Team size: 8 dedicated engineers</w:t>
      </w:r>
    </w:p>
    <w:p>
      <w:pPr>
        <w:pStyle w:val="Heading2"/>
      </w:pPr>
      <w:r>
        <w:t xml:space="preserve">Technical Approach</w:t>
      </w:r>
    </w:p>
    <w:p>
      <w:pPr>
        <w:spacing w:after="200"/>
      </w:pPr>
      <w:r>
        <w:t xml:space="preserve">We will execute a phased wave migration across us-east-1 with cross-region backup in us-west-2. All workloads remain in US regions. Discovery will define per-application downtime windows; we target minimal disruption and will agree cutover plans with your application owners.</w:t>
      </w:r>
    </w:p>
    <w:p>
      <w:pPr>
        <w:pStyle w:val="Heading2"/>
      </w:pPr>
      <w:r>
        <w:t xml:space="preserve">Compliance Statement</w:t>
      </w:r>
    </w:p>
    <w:p>
      <w:pPr>
        <w:spacing w:after="80"/>
      </w:pPr>
      <w:r>
        <w:t xml:space="preserve">• AWS-certified migration team: MET — 4 AWS Professional Architects</w:t>
      </w:r>
    </w:p>
    <w:p>
      <w:pPr>
        <w:spacing w:after="80"/>
      </w:pPr>
      <w:r>
        <w:t xml:space="preserve">• Timeline within 6 months: MET — 5-month plan</w:t>
      </w:r>
    </w:p>
    <w:p>
      <w:pPr>
        <w:spacing w:after="80"/>
      </w:pPr>
      <w:r>
        <w:t xml:space="preserve">• Budget cap $150,000 USD: MET — $142,500 total</w:t>
      </w:r>
    </w:p>
    <w:p>
      <w:pPr>
        <w:spacing w:after="80"/>
      </w:pPr>
      <w:r>
        <w:t xml:space="preserve">• Minimal downtime (&lt; 4 hours per app): UNCLEAR — windows agreed per app in discovery</w:t>
      </w:r>
    </w:p>
    <w:p>
      <w:pPr>
        <w:spacing w:after="80"/>
      </w:pPr>
      <w:r>
        <w:t xml:space="preserve">• Data residency in US regions: MET — us-east-1 primary, us-west-2 backup</w:t>
      </w:r>
    </w:p>
    <w:p>
      <w:pPr>
        <w:spacing w:before="400"/>
      </w:pPr>
      <w:r>
        <w:rPr>
          <w:i/>
          <w:iCs/>
        </w:rPr>
        <w:t xml:space="preserve">Submitted for evaluation purposes — ProcureAI demo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2026-06-26T08:46:12.201Z</dcterms:created>
  <dcterms:modified xsi:type="dcterms:W3CDTF">2026-06-26T08:46:12.202Z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