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Response to Request for Proposal — AWS Cloud Migration</w:t>
      </w:r>
    </w:p>
    <w:p>
      <w:pPr>
        <w:spacing w:after="300"/>
      </w:pPr>
      <w:r>
        <w:rPr>
          <w:b/>
          <w:bCs/>
        </w:rPr>
        <w:t xml:space="preserve">Nimbus Cloud Partners</w:t>
      </w:r>
      <w:r>
        <w:t xml:space="preserve"> — Vendor Proposal</w:t>
      </w:r>
    </w:p>
    <w:p>
      <w:pPr>
        <w:pStyle w:val="Heading2"/>
      </w:pPr>
      <w:r>
        <w:t xml:space="preserve">Executive Summary</w:t>
      </w:r>
    </w:p>
    <w:p>
      <w:pPr>
        <w:spacing w:after="200"/>
      </w:pPr>
      <w:r>
        <w:t xml:space="preserve">Nimbus Cloud Partners bids $138,000 USD for a 6-month AWS migration using parallel wave migrations. Our team of 6 includes 3 Solutions Architects and 2 DevOps engineers with AWS certifications.</w:t>
      </w:r>
    </w:p>
    <w:p>
      <w:pPr>
        <w:pStyle w:val="Heading2"/>
      </w:pPr>
      <w:r>
        <w:t xml:space="preserve">Commercial Offer</w:t>
      </w:r>
    </w:p>
    <w:p>
      <w:pPr>
        <w:spacing w:after="80"/>
      </w:pPr>
      <w:r>
        <w:t xml:space="preserve">• All-in price: $138,000 USD (lowest among qualified bidders)</w:t>
      </w:r>
    </w:p>
    <w:p>
      <w:pPr>
        <w:spacing w:after="80"/>
      </w:pPr>
      <w:r>
        <w:t xml:space="preserve">• Timeline: 6 months with transparent cost breakdown by migration wave</w:t>
      </w:r>
    </w:p>
    <w:p>
      <w:pPr>
        <w:spacing w:after="80"/>
      </w:pPr>
      <w:r>
        <w:t xml:space="preserve">• Team size: 6 engineers</w:t>
      </w:r>
    </w:p>
    <w:p>
      <w:pPr>
        <w:spacing w:after="80"/>
      </w:pPr>
      <w:r>
        <w:t xml:space="preserve">• Primary region: us-east-1; no data stored outside the United States</w:t>
      </w:r>
    </w:p>
    <w:p>
      <w:pPr>
        <w:pStyle w:val="Heading2"/>
      </w:pPr>
      <w:r>
        <w:t xml:space="preserve">Technical Approach</w:t>
      </w:r>
    </w:p>
    <w:p>
      <w:pPr>
        <w:spacing w:after="200"/>
      </w:pPr>
      <w:r>
        <w:t xml:space="preserve">Nimbus uses parallel wave migrations to optimize cost. Legacy ERP cutover may require an 8-hour maintenance window, which exceeds the RFP target of 4 hours for that application. All other applications are planned within standard maintenance windows.</w:t>
      </w:r>
    </w:p>
    <w:p>
      <w:pPr>
        <w:pStyle w:val="Heading2"/>
      </w:pPr>
      <w:r>
        <w:t xml:space="preserve">Compliance Statement</w:t>
      </w:r>
    </w:p>
    <w:p>
      <w:pPr>
        <w:spacing w:after="80"/>
      </w:pPr>
      <w:r>
        <w:t xml:space="preserve">• AWS-certified migration team: MET — 3 SA + 2 DevOps certified</w:t>
      </w:r>
    </w:p>
    <w:p>
      <w:pPr>
        <w:spacing w:after="80"/>
      </w:pPr>
      <w:r>
        <w:t xml:space="preserve">• Timeline within 6 months: MET — 6-month delivery</w:t>
      </w:r>
    </w:p>
    <w:p>
      <w:pPr>
        <w:spacing w:after="80"/>
      </w:pPr>
      <w:r>
        <w:t xml:space="preserve">• Budget cap $150,000 USD: MET — $138,000</w:t>
      </w:r>
    </w:p>
    <w:p>
      <w:pPr>
        <w:spacing w:after="80"/>
      </w:pPr>
      <w:r>
        <w:t xml:space="preserve">• Minimal downtime (&lt; 4 hours per app): NOT MET — ERP may need 8-hour window</w:t>
      </w:r>
    </w:p>
    <w:p>
      <w:pPr>
        <w:spacing w:after="80"/>
      </w:pPr>
      <w:r>
        <w:t xml:space="preserve">• Data residency in US regions: MET — us-east-1 only</w:t>
      </w:r>
    </w:p>
    <w:p>
      <w:pPr>
        <w:spacing w:before="400"/>
      </w:pPr>
      <w:r>
        <w:rPr>
          <w:i/>
          <w:iCs/>
        </w:rPr>
        <w:t xml:space="preserve">Submitted for evaluation purposes — ProcureAI demo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2026-06-26T08:46:12.252Z</dcterms:created>
  <dcterms:modified xsi:type="dcterms:W3CDTF">2026-06-26T08:46:12.252Z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