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Response to Request for Proposal — AWS Cloud Migration</w:t>
      </w:r>
    </w:p>
    <w:p>
      <w:pPr>
        <w:spacing w:after="300"/>
      </w:pPr>
      <w:r>
        <w:rPr>
          <w:b/>
          <w:bCs/>
        </w:rPr>
        <w:t xml:space="preserve">PrimeVendor Global</w:t>
      </w:r>
      <w:r>
        <w:t xml:space="preserve"> — Vendor Proposal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PrimeVendor Global submits a fixed fee of $149,000 USD over 5 months aligned to RFP milestones. We offer flexible payment terms and a balanced commercial package through our regional AWS MSP partnership.</w:t>
      </w:r>
    </w:p>
    <w:p>
      <w:pPr>
        <w:pStyle w:val="Heading2"/>
      </w:pPr>
      <w:r>
        <w:t xml:space="preserve">Commercial Offer</w:t>
      </w:r>
    </w:p>
    <w:p>
      <w:pPr>
        <w:spacing w:after="80"/>
      </w:pPr>
      <w:r>
        <w:t xml:space="preserve">• Fixed fee: $149,000 USD</w:t>
      </w:r>
    </w:p>
    <w:p>
      <w:pPr>
        <w:spacing w:after="80"/>
      </w:pPr>
      <w:r>
        <w:t xml:space="preserve">• Timeline: 5 months aligned to RFP milestones</w:t>
      </w:r>
    </w:p>
    <w:p>
      <w:pPr>
        <w:spacing w:after="80"/>
      </w:pPr>
      <w:r>
        <w:t xml:space="preserve">• Team size: 7 consultants</w:t>
      </w:r>
    </w:p>
    <w:p>
      <w:pPr>
        <w:spacing w:after="80"/>
      </w:pPr>
      <w:r>
        <w:t xml:space="preserve">• Flexible payment terms available (quarterly invoicing option)</w:t>
      </w:r>
    </w:p>
    <w:p>
      <w:pPr>
        <w:spacing w:after="80"/>
      </w:pPr>
      <w:r>
        <w:t xml:space="preserve">• Liability cap deviation: medium severity — see legal appendix</w:t>
      </w:r>
    </w:p>
    <w:p>
      <w:pPr>
        <w:pStyle w:val="Heading2"/>
      </w:pPr>
      <w:r>
        <w:t xml:space="preserve">Technical Approach</w:t>
      </w:r>
    </w:p>
    <w:p>
      <w:pPr>
        <w:spacing w:after="200"/>
      </w:pPr>
      <w:r>
        <w:t xml:space="preserve">All production workloads will run in US AWS regions. Downtime plans will be finalized during the discovery phase. AWS certifications for assigned staff are listed in appendix A.</w:t>
      </w:r>
    </w:p>
    <w:p>
      <w:pPr>
        <w:pStyle w:val="Heading2"/>
      </w:pPr>
      <w:r>
        <w:t xml:space="preserve">Compliance Statement</w:t>
      </w:r>
    </w:p>
    <w:p>
      <w:pPr>
        <w:spacing w:after="80"/>
      </w:pPr>
      <w:r>
        <w:t xml:space="preserve">• AWS-certified migration team: UNCLEAR — certifications in appendix</w:t>
      </w:r>
    </w:p>
    <w:p>
      <w:pPr>
        <w:spacing w:after="80"/>
      </w:pPr>
      <w:r>
        <w:t xml:space="preserve">• Timeline within 6 months: MET — 5-month delivery</w:t>
      </w:r>
    </w:p>
    <w:p>
      <w:pPr>
        <w:spacing w:after="80"/>
      </w:pPr>
      <w:r>
        <w:t xml:space="preserve">• Budget cap $150,000 USD: MET — $149,000</w:t>
      </w:r>
    </w:p>
    <w:p>
      <w:pPr>
        <w:spacing w:after="80"/>
      </w:pPr>
      <w:r>
        <w:t xml:space="preserve">• Minimal downtime (&lt; 4 hours per app): UNCLEAR — finalized in discovery</w:t>
      </w:r>
    </w:p>
    <w:p>
      <w:pPr>
        <w:spacing w:after="80"/>
      </w:pPr>
      <w:r>
        <w:t xml:space="preserve">• Data residency in US regions: MET — US regions only</w:t>
      </w:r>
    </w:p>
    <w:p>
      <w:pPr>
        <w:spacing w:before="400"/>
      </w:pPr>
      <w:r>
        <w:rPr>
          <w:i/>
          <w:iCs/>
        </w:rPr>
        <w:t xml:space="preserve">Submitted for evaluation purposes — ProcureAI 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2026-06-26T08:46:12.286Z</dcterms:created>
  <dcterms:modified xsi:type="dcterms:W3CDTF">2026-06-26T08:46:12.286Z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