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48"/>
          <w:szCs w:val="48"/>
        </w:rPr>
        <w:t xml:space="preserve">CaseX High-Level Design v0.9</w:t>
      </w:r>
    </w:p>
    <w:p>
      <w:pPr>
        <w:spacing w:after="2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Multi-Resource Event Booking · ฉบับร่างสำหรับการทบทวน (Draft for Review)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984"/>
        <w:gridCol w:w="7036"/>
      </w:tblGrid>
      <w:tr>
        <w:trPr>
          <w:cantSplit/>
        </w:trPr>
        <w:tc>
          <w:tcPr>
            <w:tcW w:type="dxa" w:w="1984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Document ID</w:t>
            </w:r>
          </w:p>
        </w:tc>
        <w:tc>
          <w:tcPr>
            <w:tcW w:type="dxa" w:w="703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CASEX-HLD-0.9</w:t>
            </w:r>
          </w:p>
        </w:tc>
      </w:tr>
      <w:tr>
        <w:trPr>
          <w:cantSplit/>
        </w:trPr>
        <w:tc>
          <w:tcPr>
            <w:tcW w:type="dxa" w:w="1984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สถานะ</w:t>
            </w:r>
          </w:p>
        </w:tc>
        <w:tc>
          <w:tcPr>
            <w:tcW w:type="dxa" w:w="703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6"/>
                <w:szCs w:val="26"/>
              </w:rPr>
              <w:t xml:space="preserve">DRAFT — FOR REVIEW ONLY · ยังไม่ผ่านการทบทวนและยังไม่เป็น Baseline</w:t>
            </w:r>
          </w:p>
        </w:tc>
      </w:tr>
      <w:tr>
        <w:trPr>
          <w:cantSplit/>
        </w:trPr>
        <w:tc>
          <w:tcPr>
            <w:tcW w:type="dxa" w:w="1984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ที่มา</w:t>
            </w:r>
          </w:p>
        </w:tc>
        <w:tc>
          <w:tcPr>
            <w:tcW w:type="dxa" w:w="703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จัดทำโดยผู้สอน โดยแปลงจาก ENGSE206_CaseX_SRS_v1.0_TH เท่านั้น</w:t>
            </w:r>
          </w:p>
        </w:tc>
      </w:tr>
      <w:tr>
        <w:trPr>
          <w:cantSplit/>
        </w:trPr>
        <w:tc>
          <w:tcPr>
            <w:tcW w:type="dxa" w:w="1984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ใช้ในรายวิชา</w:t>
            </w:r>
          </w:p>
        </w:tc>
        <w:tc>
          <w:tcPr>
            <w:tcW w:type="dxa" w:w="703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ENGSE601 สัปดาห์ที่ 5 (HLD Review) และสัปดาห์ที่ 6 (Interface &amp; Data Flow Review)</w:t>
            </w:r>
          </w:p>
        </w:tc>
      </w:tr>
      <w:tr>
        <w:trPr>
          <w:cantSplit/>
        </w:trPr>
        <w:tc>
          <w:tcPr>
            <w:tcW w:type="dxa" w:w="1984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ข้อจำกัด</w:t>
            </w:r>
          </w:p>
        </w:tc>
        <w:tc>
          <w:tcPr>
            <w:tcW w:type="dxa" w:w="703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เอกสารนี้ไม่ใช่คำตอบที่ถูกต้อง เป็นเพียงข้อเสนอการออกแบบหนึ่งชุดที่รอการตรวจ</w:t>
            </w:r>
          </w:p>
        </w:tc>
      </w:tr>
    </w:tbl>
    <w:p>
      <w:pPr>
        <w:spacing w:after="12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อ่านก่อนใช้งาน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เอกสารนี้คือ “ข้อเสนอการออกแบบ” ที่ทีมสมมติจัดทำขึ้นจาก SRS v1.0 หน้าที่ของนักศึกษาคือ ตรวจว่าการออกแบบนี้รองรับความต้องการใน SRS จริงหรือไม่ ไม่ใช่การท่องจำว่าเอกสารนี้ถูกต้อง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ทุกข้อความในเอกสารนี้ถือเป็น Fact ที่อ้างอิงได้ (เพราะเขียนไว้จริง) แต่ ไม่ได้แปลว่าถูกต้อง สิ่งที่ไม่ได้เขียนไว้ในเอกสารนี้ ห้ามสรุปเอง ให้บันทึกเป็น Not Verifiable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1. ขอบเขตและที่มาของเอกสาร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เอกสารนี้เสนอสถาปัตยกรรมระดับสูง (High-Level Design) ของระบบ Multi-Resource Event Booking ตามที่ระบุใน SRS v1.0 โดยครอบคลุมเฉพาะขอบเขต MVP เท่านั้น ความสามารถที่ SRS ระบุเป็น Won’t in MVP เช่น FR-X-11 Resource Hold ไม่ถูกออกแบบไว้ในเอกสารนี้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เอกสารนี้อธิบายว่า ระบบประกอบด้วยส่วนใดบ้าง แต่ละส่วนรับผิดชอบอะไร และคุยกันด้วยข้อมูลอะไร ยังไม่ลงรายละเอียดถึงระดับ Class, Schema ของฐานข้อมูล หรือรูปแบบ API ที่ชัดเจน ซึ่งจะอยู่ในเอกสาร Detailed Design ต่อไป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1.1 ข้อมูลนำเข้าที่ใช้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788"/>
        <w:gridCol w:w="5232"/>
      </w:tblGrid>
      <w:tr>
        <w:trPr>
          <w:cantSplit/>
          <w:tblHeader/>
        </w:trPr>
        <w:tc>
          <w:tcPr>
            <w:tcW w:type="dxa" w:w="378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แหล่ง</w:t>
            </w:r>
          </w:p>
        </w:tc>
        <w:tc>
          <w:tcPr>
            <w:tcW w:type="dxa" w:w="523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ส่วนที่นำมาใช้</w:t>
            </w:r>
          </w:p>
        </w:tc>
      </w:tr>
      <w:tr>
        <w:trPr>
          <w:cantSplit/>
        </w:trPr>
        <w:tc>
          <w:tcPr>
            <w:tcW w:type="dxa" w:w="378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ENGSE206_CaseX_SRS_v1.0_TH §2</w:t>
            </w:r>
          </w:p>
        </w:tc>
        <w:tc>
          <w:tcPr>
            <w:tcW w:type="dxa" w:w="523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 Context, User Classes, Constraints และ Assumptions</w:t>
            </w:r>
          </w:p>
        </w:tc>
      </w:tr>
      <w:tr>
        <w:trPr>
          <w:cantSplit/>
        </w:trPr>
        <w:tc>
          <w:tcPr>
            <w:tcW w:type="dxa" w:w="378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ENGSE206_CaseX_SRS_v1.0_TH §3</w:t>
            </w:r>
          </w:p>
        </w:tc>
        <w:tc>
          <w:tcPr>
            <w:tcW w:type="dxa" w:w="523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Logical User Interface Views และ External Interfaces</w:t>
            </w:r>
          </w:p>
        </w:tc>
      </w:tr>
      <w:tr>
        <w:trPr>
          <w:cantSplit/>
        </w:trPr>
        <w:tc>
          <w:tcPr>
            <w:tcW w:type="dxa" w:w="378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ENGSE206_CaseX_SRS_v1.0_TH §4</w:t>
            </w:r>
          </w:p>
        </w:tc>
        <w:tc>
          <w:tcPr>
            <w:tcW w:type="dxa" w:w="523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UC-X-01..03 พร้อม Main / Alternate / Exception Flow</w:t>
            </w:r>
          </w:p>
        </w:tc>
      </w:tr>
      <w:tr>
        <w:trPr>
          <w:cantSplit/>
        </w:trPr>
        <w:tc>
          <w:tcPr>
            <w:tcW w:type="dxa" w:w="378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ENGSE206_CaseX_SRS_v1.0_TH §5</w:t>
            </w:r>
          </w:p>
        </w:tc>
        <w:tc>
          <w:tcPr>
            <w:tcW w:type="dxa" w:w="523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NFR-X-01..02, CON-X-01 และ BR-X-01..03</w:t>
            </w:r>
          </w:p>
        </w:tc>
      </w:tr>
      <w:tr>
        <w:trPr>
          <w:cantSplit/>
        </w:trPr>
        <w:tc>
          <w:tcPr>
            <w:tcW w:type="dxa" w:w="378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ENGSE206_CaseX_SRS_v1.0_TH ภาคผนวก ข</w:t>
            </w:r>
          </w:p>
        </w:tc>
        <w:tc>
          <w:tcPr>
            <w:tcW w:type="dxa" w:w="523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Model Elements M-X-01..08, State Semantics และ Authority Matrix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2. ภาพรวมสถาปัตยกรรม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ระบบแบ่งเป็น 4 ชั้นตามข้อตัดสินใจ D-01 โดยข้อมูลไหลจากผู้ใช้ผ่านชั้น Presentation ลงไปยัง Application แล้วจึงเข้าถึง Data และระบบภายนอกผ่านชั้น Integration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533"/>
        <w:gridCol w:w="3879"/>
        <w:gridCol w:w="3608"/>
      </w:tblGrid>
      <w:tr>
        <w:trPr>
          <w:cantSplit/>
          <w:tblHeader/>
        </w:trPr>
        <w:tc>
          <w:tcPr>
            <w:tcW w:type="dxa" w:w="153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ชั้น</w:t>
            </w:r>
          </w:p>
        </w:tc>
        <w:tc>
          <w:tcPr>
            <w:tcW w:type="dxa" w:w="387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ส่วนประกอบภายในชั้น</w:t>
            </w:r>
          </w:p>
        </w:tc>
        <w:tc>
          <w:tcPr>
            <w:tcW w:type="dxa" w:w="360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หน้าที่ของชั้น</w:t>
            </w:r>
          </w:p>
        </w:tc>
      </w:tr>
      <w:tr>
        <w:trPr>
          <w:cantSplit/>
        </w:trPr>
        <w:tc>
          <w:tcPr>
            <w:tcW w:type="dxa" w:w="153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Presentation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C-01 Event Request UI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C-02 Owner Review UI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รับคำสั่งจากผู้ใช้และแสดงผล</w:t>
            </w:r>
          </w:p>
        </w:tc>
      </w:tr>
      <w:tr>
        <w:trPr>
          <w:cantSplit/>
        </w:trPr>
        <w:tc>
          <w:tcPr>
            <w:tcW w:type="dxa" w:w="153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Application</w:t>
            </w:r>
          </w:p>
        </w:tc>
        <w:tc>
          <w:tcPr>
            <w:tcW w:type="dxa" w:w="387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C-03 Event Request Service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C-04 Routing Service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C-05 Decision Service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C-06 Alternative Suggestion Service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ดำเนินตามขั้นตอนทางธุรกิจของ Use Case</w:t>
            </w:r>
          </w:p>
        </w:tc>
      </w:tr>
      <w:tr>
        <w:trPr>
          <w:cantSplit/>
        </w:trPr>
        <w:tc>
          <w:tcPr>
            <w:tcW w:type="dxa" w:w="153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Integration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C-07 Availability Adapter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C-08 Notification Adapter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C-09 Identity Adapter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ติดต่อระบบภายนอกตาม SRS §3.3</w:t>
            </w:r>
          </w:p>
        </w:tc>
      </w:tr>
      <w:tr>
        <w:trPr>
          <w:cantSplit/>
        </w:trPr>
        <w:tc>
          <w:tcPr>
            <w:tcW w:type="dxa" w:w="153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Data</w:t>
            </w:r>
          </w:p>
        </w:tc>
        <w:tc>
          <w:tcPr>
            <w:tcW w:type="dxa" w:w="387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C-10 Data Store</w:t>
            </w:r>
          </w:p>
        </w:tc>
        <w:tc>
          <w:tcPr>
            <w:tcW w:type="dxa" w:w="360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จัดเก็บข้อมูลถาวร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1 — การจัดชั้นของส่วนประกอบตามข้อตัดสินใจ D-01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2.1 การเชื่อมต่อกับระบบภายนอก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4510"/>
        <w:gridCol w:w="4510"/>
      </w:tblGrid>
      <w:tr>
        <w:trPr>
          <w:cantSplit/>
          <w:tblHeader/>
        </w:trPr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ระบบภายนอก (ตาม SRS §3.3)</w:t>
            </w:r>
          </w:p>
        </w:tc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ส่วนประกอบที่ติดต่อ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University Identity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C-09 Identity Adapter</w:t>
            </w:r>
          </w:p>
        </w:tc>
      </w:tr>
      <w:tr>
        <w:trPr>
          <w:cantSplit/>
        </w:trPr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Availability Source</w:t>
            </w:r>
          </w:p>
        </w:tc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C-07 Availability Adapter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Notification Channel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C-08 Notification Adapter</w:t>
            </w:r>
          </w:p>
        </w:tc>
      </w:tr>
      <w:tr>
        <w:trPr>
          <w:cantSplit/>
        </w:trPr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Owner Mapping Source</w:t>
            </w:r>
          </w:p>
        </w:tc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C-04 Routing Service อ่านผ่าน C-10 Data Store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3. ส่วนประกอบและความรับผิดชอบ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ตารางต่อไปนี้คือคำอธิบายความรับผิดชอบของแต่ละส่วนประกอบตามที่ทีมออกแบบเขียนไว้ ให้ใช้ตารางนี้เป็นหลักฐานอ้างอิงเวลาทำ Requirement-to-Design Trace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722"/>
        <w:gridCol w:w="1984"/>
        <w:gridCol w:w="1263"/>
        <w:gridCol w:w="5051"/>
      </w:tblGrid>
      <w:tr>
        <w:trPr>
          <w:cantSplit/>
          <w:tblHeader/>
        </w:trPr>
        <w:tc>
          <w:tcPr>
            <w:tcW w:type="dxa" w:w="72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ส่วนประกอบ</w:t>
            </w:r>
          </w:p>
        </w:tc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ชั้น</w:t>
            </w:r>
          </w:p>
        </w:tc>
        <w:tc>
          <w:tcPr>
            <w:tcW w:type="dxa" w:w="505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ความรับผิดชอบตามที่ระบุ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C-01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Event Request UI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Presentation</w:t>
            </w:r>
          </w:p>
        </w:tc>
        <w:tc>
          <w:tcPr>
            <w:tcW w:type="dxa" w:w="505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หน้าจอสร้าง/แก้ Event Request และ Resource Items · แสดง Availability · แสดง Readiness Summary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คำนวณ Overall Readiness จากรายการ Item ที่โหลดมาแสดงบนหน้าจอ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C-02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Owner Review UI</w:t>
            </w:r>
          </w:p>
        </w:tc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Presentation</w:t>
            </w:r>
          </w:p>
        </w:tc>
        <w:tc>
          <w:tcPr>
            <w:tcW w:type="dxa" w:w="505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หน้าจอให้ Resource Owner เปิดรายการและบันทึกผลการพิจารณา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ซ่อนปุ่ม Decision ของ Item ที่ไม่ใช่ของผู้ใช้ที่ล็อกอินอยู่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C-03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Event Request Service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Application</w:t>
            </w:r>
          </w:p>
        </w:tc>
        <w:tc>
          <w:tcPr>
            <w:tcW w:type="dxa" w:w="505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สร้าง/แก้ไข Event Request และ Resource Item · ตรวจข้อมูลขั้นต่ำก่อน Submit · บันทึกลง Event Store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C-04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Routing Service</w:t>
            </w:r>
          </w:p>
        </w:tc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Application</w:t>
            </w:r>
          </w:p>
        </w:tc>
        <w:tc>
          <w:tcPr>
            <w:tcW w:type="dxa" w:w="505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ค้นหาเจ้าของทรัพยากรจาก Owner Mapping และส่ง Resource Item ให้ Owner ที่รับผิดชอบ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C-05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Decision Service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Application</w:t>
            </w:r>
          </w:p>
        </w:tc>
        <w:tc>
          <w:tcPr>
            <w:tcW w:type="dxa" w:w="505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รับผลการพิจารณาจาก Owner Review UI · บันทึก Decision Record · เรียก Notification Adapter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C-06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Alternative Suggestion Service</w:t>
            </w:r>
          </w:p>
        </w:tc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Application</w:t>
            </w:r>
          </w:p>
        </w:tc>
        <w:tc>
          <w:tcPr>
            <w:tcW w:type="dxa" w:w="505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ค้นหาช่วงเวลา/ทรัพยากรทางเลือกเมื่อ Event อยู่ในสถานะ Action Required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เรียงผลลัพธ์โดยให้ทางเลือกที่ใกล้เคียงคำขอเดิมมากที่สุดอยู่บนสุด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C-07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Availability Adapter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Integration</w:t>
            </w:r>
          </w:p>
        </w:tc>
        <w:tc>
          <w:tcPr>
            <w:tcW w:type="dxa" w:w="505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เรียก Availability Source · เก็บ cache ผลลัพธ์ 15 นาที · คืนค่าสถานะความพร้อมของทรัพยากร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C-08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Notification Adapter</w:t>
            </w:r>
          </w:p>
        </w:tc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Integration</w:t>
            </w:r>
          </w:p>
        </w:tc>
        <w:tc>
          <w:tcPr>
            <w:tcW w:type="dxa" w:w="505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ส่งข้อความแจ้งเตือนออกไปยัง Notification Channel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C-09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Identity Adapter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Integration</w:t>
            </w:r>
          </w:p>
        </w:tc>
        <w:tc>
          <w:tcPr>
            <w:tcW w:type="dxa" w:w="505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ยืนยันตัวตนกับ University Identity และคืนข้อมูลผู้ใช้พร้อมบทบาท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C-10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Data Store</w:t>
            </w:r>
          </w:p>
        </w:tc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Data</w:t>
            </w:r>
          </w:p>
        </w:tc>
        <w:tc>
          <w:tcPr>
            <w:tcW w:type="dxa" w:w="505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Event Store และ Decision Store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แต่ละ Service บันทึกประวัติการทำงานของตนเองลงตารางของตนเอง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2 — Component Responsibility</w:t>
      </w:r>
    </w:p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4. รายการส่วนต่อประสานภายในและภายนอก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ตารางต่อไปนี้คือ interface ทั้งหมดที่การออกแบบชุดนี้ระบุไว้ ข้อมูลในคอลัมน์ Input และ Output คือทั้งหมดที่เอกสารกำหนด — สิ่งที่ไม่ปรากฏในตาราง ถือว่าการออกแบบยังไม่ได้กำหนด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722"/>
        <w:gridCol w:w="1804"/>
        <w:gridCol w:w="1804"/>
        <w:gridCol w:w="2526"/>
        <w:gridCol w:w="2164"/>
      </w:tblGrid>
      <w:tr>
        <w:trPr>
          <w:cantSplit/>
          <w:tblHeader/>
        </w:trPr>
        <w:tc>
          <w:tcPr>
            <w:tcW w:type="dxa" w:w="72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ต้นทาง → ปลายทาง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ชื่อเรียก</w:t>
            </w:r>
          </w:p>
        </w:tc>
        <w:tc>
          <w:tcPr>
            <w:tcW w:type="dxa" w:w="252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ข้อมูลเข้า</w:t>
            </w:r>
          </w:p>
        </w:tc>
        <w:tc>
          <w:tcPr>
            <w:tcW w:type="dxa" w:w="216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ข้อมูลออก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I-01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C-01 → C-03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submitEventRequest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ข้อมูลกิจกรรมร่วม, รายการ Resource Items</w:t>
            </w:r>
          </w:p>
        </w:tc>
        <w:tc>
          <w:tcPr>
            <w:tcW w:type="dxa" w:w="216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ผลการบันทึก + eventId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I-02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C-03 → C-04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routeItems</w:t>
            </w:r>
          </w:p>
        </w:tc>
        <w:tc>
          <w:tcPr>
            <w:tcW w:type="dxa" w:w="252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รายการ itemId ที่ต้องส่งให้ Owner</w:t>
            </w:r>
          </w:p>
        </w:tc>
        <w:tc>
          <w:tcPr>
            <w:tcW w:type="dxa" w:w="216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จำนวนรายการที่ส่งสำเร็จ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I-03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C-04 → C-10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lookupOwner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resourceId</w:t>
            </w:r>
          </w:p>
        </w:tc>
        <w:tc>
          <w:tcPr>
            <w:tcW w:type="dxa" w:w="216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ownerId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I-04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C-02 → C-05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submitDecision</w:t>
            </w:r>
          </w:p>
        </w:tc>
        <w:tc>
          <w:tcPr>
            <w:tcW w:type="dxa" w:w="252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itemId, decision, reason</w:t>
            </w:r>
          </w:p>
        </w:tc>
        <w:tc>
          <w:tcPr>
            <w:tcW w:type="dxa" w:w="216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ผลการบันทึก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I-05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C-05 → C-10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writeDecision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Decision Record</w:t>
            </w:r>
          </w:p>
        </w:tc>
        <w:tc>
          <w:tcPr>
            <w:tcW w:type="dxa" w:w="216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ผลการบันทึก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I-06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C-01/C-03 → C-07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getAvailability</w:t>
            </w:r>
          </w:p>
        </w:tc>
        <w:tc>
          <w:tcPr>
            <w:tcW w:type="dxa" w:w="252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resourceId, ช่วงเวลาที่ขอ</w:t>
            </w:r>
          </w:p>
        </w:tc>
        <w:tc>
          <w:tcPr>
            <w:tcW w:type="dxa" w:w="216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available: true/false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I-07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C-05 → C-08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notify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recipient, ข้อความแจ้งเตือน</w:t>
            </w:r>
          </w:p>
        </w:tc>
        <w:tc>
          <w:tcPr>
            <w:tcW w:type="dxa" w:w="216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— (ไม่มีค่าส่งกลับ)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I-08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UI ทุกตัว → C-09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authenticate</w:t>
            </w:r>
          </w:p>
        </w:tc>
        <w:tc>
          <w:tcPr>
            <w:tcW w:type="dxa" w:w="252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session token</w:t>
            </w:r>
          </w:p>
        </w:tc>
        <w:tc>
          <w:tcPr>
            <w:tcW w:type="dxa" w:w="216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user, role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3 — Interface Inventory (ใช้เป็นฐานของการทบทวนในสัปดาห์ที่ 6)</w:t>
      </w:r>
    </w:p>
    <w:tbl>
      <w:tblPr>
        <w:tblW w:type="dxa" w:w="9020"/>
        <w:tblBorders>
          <w:top w:val="single" w:color="0E7C86" w:sz="4"/>
          <w:left w:val="single" w:color="0E7C86" w:sz="16"/>
          <w:bottom w:val="single" w:color="0E7C86" w:sz="4"/>
          <w:right w:val="single" w:color="0E7C86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EDF3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E7C86"/>
                <w:sz w:val="29"/>
                <w:szCs w:val="29"/>
              </w:rPr>
              <w:t xml:space="preserve">ข้อสังเกตของผู้จัดทำร่าง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รายละเอียดของรูปแบบข้อมูล รหัสข้อผิดพลาด และเงื่อนไขก่อน/หลังการเรียกใช้ ยังไม่ได้กำหนดในร่างฉบับนี้ และจะกำหนดในขั้น Detailed Design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5. การจัดเก็บข้อมูล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C-10 Data Store จัดเก็บข้อมูลตาม Model Elements ใน SRS ภาคผนวก ข ดังนี้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984"/>
        <w:gridCol w:w="5232"/>
        <w:gridCol w:w="1804"/>
      </w:tblGrid>
      <w:tr>
        <w:trPr>
          <w:cantSplit/>
          <w:tblHeader/>
        </w:trPr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กลุ่มข้อมูล</w:t>
            </w:r>
          </w:p>
        </w:tc>
        <w:tc>
          <w:tcPr>
            <w:tcW w:type="dxa" w:w="523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ข้อมูลที่จัดเก็บ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อ้างอิง Model</w:t>
            </w:r>
          </w:p>
        </w:tc>
      </w:tr>
      <w:tr>
        <w:trPr>
          <w:cantSplit/>
        </w:trPr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Event Store</w:t>
            </w:r>
          </w:p>
        </w:tc>
        <w:tc>
          <w:tcPr>
            <w:tcW w:type="dxa" w:w="523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ข้อมูลกิจกรรมร่วม, Organizer, ช่วงเวลาที่ขอ, สถานะรวมของกิจกรรม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M-X-01</w:t>
            </w:r>
          </w:p>
        </w:tc>
      </w:tr>
      <w:tr>
        <w:trPr>
          <w:cantSplit/>
        </w:trPr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Resource Item</w:t>
            </w:r>
          </w:p>
        </w:tc>
        <w:tc>
          <w:tcPr>
            <w:tcW w:type="dxa" w:w="523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ประเภททรัพยากร, ทรัพยากร, ช่วงเวลา, Required/Optional, Owner, Responsible Person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M-X-02 · M-X-03</w:t>
            </w:r>
          </w:p>
        </w:tc>
      </w:tr>
      <w:tr>
        <w:trPr>
          <w:cantSplit/>
        </w:trPr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Decision Store</w:t>
            </w:r>
          </w:p>
        </w:tc>
        <w:tc>
          <w:tcPr>
            <w:tcW w:type="dxa" w:w="523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ผลการพิจารณาของ Owner แต่ละราย พร้อมเหตุผลและเวลา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M-X-04</w:t>
            </w:r>
          </w:p>
        </w:tc>
      </w:tr>
      <w:tr>
        <w:trPr>
          <w:cantSplit/>
        </w:trPr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ประวัติการทำงาน</w:t>
            </w:r>
          </w:p>
        </w:tc>
        <w:tc>
          <w:tcPr>
            <w:tcW w:type="dxa" w:w="523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แต่ละ Service บันทึกรายการที่ตนดำเนินการลงตารางประวัติของตนเอง</w:t>
            </w:r>
          </w:p>
        </w:tc>
        <w:tc>
          <w:tcPr>
            <w:tcW w:type="dxa" w:w="180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M-X-06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4 — การจัดเก็บข้อมูลระดับตรรกะ (ยังไม่ใช่ Schema)</w:t>
      </w:r>
    </w:p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6. ข้อตัดสินใจเชิงออกแบบ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722"/>
        <w:gridCol w:w="4510"/>
        <w:gridCol w:w="3788"/>
      </w:tblGrid>
      <w:tr>
        <w:trPr>
          <w:cantSplit/>
          <w:tblHeader/>
        </w:trPr>
        <w:tc>
          <w:tcPr>
            <w:tcW w:type="dxa" w:w="72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ข้อตัดสินใจ</w:t>
            </w:r>
          </w:p>
        </w:tc>
        <w:tc>
          <w:tcPr>
            <w:tcW w:type="dxa" w:w="378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เหตุผลที่ทีมออกแบบให้ไว้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D-01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ใช้สถาปัตยกรรมแบบ Layered (Presentation / Application / Integration / Data)</w:t>
            </w:r>
          </w:p>
        </w:tc>
        <w:tc>
          <w:tcPr>
            <w:tcW w:type="dxa" w:w="378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ทีมนักศึกษาคุ้นเคยและแบ่งงานได้ง่ายภายในกรอบเวลา MVP 4 สัปดาห์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D-02</w:t>
            </w:r>
          </w:p>
        </w:tc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Availability Adapter เก็บ cache ผลลัพธ์ไว้ 15 นาที</w:t>
            </w:r>
          </w:p>
        </w:tc>
        <w:tc>
          <w:tcPr>
            <w:tcW w:type="dxa" w:w="378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ลดจำนวนการเรียก Availability Source ซึ่งเป็นระบบเดิมที่ตอบสนองช้า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D-03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คำนวณ Overall Readiness ที่ Event Request UI จากรายการ Item ที่โหลดมาแสดง</w:t>
            </w:r>
          </w:p>
        </w:tc>
        <w:tc>
          <w:tcPr>
            <w:tcW w:type="dxa" w:w="378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หน้าจอตอบสนองทันทีโดยไม่ต้องเรียกกลับไปที่ Service</w:t>
            </w:r>
          </w:p>
        </w:tc>
      </w:tr>
      <w:tr>
        <w:trPr>
          <w:cantSplit/>
        </w:trPr>
        <w:tc>
          <w:tcPr>
            <w:tcW w:type="dxa" w:w="72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D-04</w:t>
            </w:r>
          </w:p>
        </w:tc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ควบคุมสิทธิ์การตัดสินใจด้วยการซ่อนปุ่มที่ไม่มีสิทธิ์บนหน้าจอ Owner Review UI</w:t>
            </w:r>
          </w:p>
        </w:tc>
        <w:tc>
          <w:tcPr>
            <w:tcW w:type="dxa" w:w="378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ทำได้เร็วและผู้ใช้ไม่สับสนกับปุ่มที่กดไม่ได้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5 — Design Decisions ของร่างฉบับนี้</w:t>
      </w:r>
    </w:p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เหตุผลไม่เท่ากับความถูกต้อง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ทุกข้อตัดสินใจในตารางที่ 5 มีเหตุผลรองรับที่ฟังดูสมเหตุสมผล งานของผู้ทบทวนคือตรวจว่าเหตุผลนั้นทำให้ระบบยังคงทำตาม SRS ได้หรือไม่ ไม่ใช่ตรวจว่ามีเหตุผลหรือไม่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7. สิ่งที่ร่างฉบับนี้ยังไม่ได้กำหนด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ผู้จัดทำร่างระบุไว้อย่างเปิดเผยว่าหัวข้อต่อไปนี้ยังไม่ได้กำหนด หากงานทบทวนต้องใช้ข้อมูลเหล่านี้ ให้บันทึกสถานะเป็น Not Verifiable และตั้งเป็นคำถามที่ต้องยืนยัน</w:t>
      </w:r>
    </w:p>
    <w:p>
      <w:pPr>
        <w:pStyle w:val="ListParagraph"/>
        <w:numPr>
          <w:ilvl w:val="0"/>
          <w:numId w:val="1"/>
        </w:numPr>
        <w:spacing w:after="40" w:before="2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รูปแบบข้อมูลและรหัสข้อผิดพลาดของแต่ละ interface</w:t>
      </w:r>
    </w:p>
    <w:p>
      <w:pPr>
        <w:pStyle w:val="ListParagraph"/>
        <w:numPr>
          <w:ilvl w:val="0"/>
          <w:numId w:val="1"/>
        </w:numPr>
        <w:spacing w:after="40" w:before="2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ค่าเป้าหมายด้านสมรรถนะ ซึ่ง SRS ระบุไว้เป็น TBD-X-01</w:t>
      </w:r>
    </w:p>
    <w:p>
      <w:pPr>
        <w:pStyle w:val="ListParagraph"/>
        <w:numPr>
          <w:ilvl w:val="0"/>
          <w:numId w:val="1"/>
        </w:numPr>
        <w:spacing w:after="40" w:before="2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ช่องทางและนโยบายการส่งซ้ำของการแจ้งเตือน ซึ่ง SRS ระบุไว้เป็น TBD-X-07</w:t>
      </w:r>
    </w:p>
    <w:p>
      <w:pPr>
        <w:pStyle w:val="ListParagraph"/>
        <w:numPr>
          <w:ilvl w:val="0"/>
          <w:numId w:val="1"/>
        </w:numPr>
        <w:spacing w:after="40" w:before="2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นโยบายการเก็บรักษาและลบข้อมูล ซึ่ง SRS ระบุไว้เป็น TBD-X-08</w:t>
      </w:r>
    </w:p>
    <w:p>
      <w:pPr>
        <w:pStyle w:val="ListParagraph"/>
        <w:numPr>
          <w:ilvl w:val="0"/>
          <w:numId w:val="1"/>
        </w:numPr>
        <w:spacing w:after="40" w:before="2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การออกแบบหน้าจอ รูปแบบฐานข้อมูล และเทคโนโลยีที่ใช้พัฒนา</w:t>
      </w:r>
    </w:p>
    <w:p>
      <w:pPr>
        <w:spacing w:after="1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28"/>
          <w:szCs w:val="28"/>
        </w:rPr>
        <w:t xml:space="preserve">จบเอกสาร CaseX High-Level Design v0.9 — Draft for Review</w:t>
      </w:r>
    </w:p>
    <w:sectPr>
      <w:headerReference w:type="default" r:id="rId7"/>
      <w:footerReference w:type="default" r:id="rId8"/>
      <w:pgSz w:w="11906" w:h="16838" w:orient="portrait"/>
      <w:pgMar w:top="1150" w:right="1440" w:bottom="1150" w:left="144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CASEX-HLD-0.9</w:t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       หน้า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/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D1" w:sz="4" w:space="3"/>
      </w:pBdr>
      <w:spacing w:after="40"/>
    </w:pPr>
    <w:r>
      <w:rPr>
        <w:rFonts w:ascii="TH Sarabun New" w:cs="TH Sarabun New" w:eastAsia="TH Sarabun New" w:hAnsi="TH Sarabun New"/>
        <w:b/>
        <w:bCs/>
        <w:i w:val="false"/>
        <w:iCs w:val="false"/>
        <w:color w:val="12395B"/>
        <w:sz w:val="24"/>
        <w:szCs w:val="24"/>
      </w:rPr>
      <w:t xml:space="preserve">ENGSE601 · CaseX HLD v0.9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5A6672"/>
        <w:sz w:val="24"/>
        <w:szCs w:val="24"/>
      </w:rPr>
      <w:t xml:space="preserve">DRAFT — FOR REVIEW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sz w:val="30"/>
        <w:szCs w:val="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TH Sarabun New" w:cs="TH Sarabun New" w:eastAsia="TH Sarabun New" w:hAnsi="TH Sarabun New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2026-09-08T09:11:49.273Z</dcterms:created>
  <dcterms:modified xsi:type="dcterms:W3CDTF">2026-09-08T09:11:49.273Z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