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639CC">
      <w:pPr>
        <w:spacing w:line="240" w:lineRule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-1160145</wp:posOffset>
            </wp:positionH>
            <wp:positionV relativeFrom="page">
              <wp:posOffset>13335</wp:posOffset>
            </wp:positionV>
            <wp:extent cx="7569200" cy="10698480"/>
            <wp:effectExtent l="0" t="0" r="5080" b="0"/>
            <wp:wrapNone/>
            <wp:docPr id="15" name="图片 15" descr="8948374c0a6495340a0828d11d5e7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948374c0a6495340a0828d11d5e7e9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sdt>
      <w:sdtPr>
        <w:rPr>
          <w:rFonts w:hint="eastAsia" w:ascii="黑体" w:hAnsi="黑体" w:eastAsia="黑体" w:cs="黑体"/>
          <w:b/>
          <w:bCs/>
          <w:snapToGrid/>
          <w:kern w:val="2"/>
          <w:sz w:val="32"/>
          <w:szCs w:val="32"/>
          <w:lang w:val="en-US" w:eastAsia="zh-CN" w:bidi="ar-SA"/>
        </w:rPr>
        <w:id w:val="147475331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theme="minorBidi"/>
          <w:b/>
          <w:bCs/>
          <w:snapToGrid/>
          <w:kern w:val="2"/>
          <w:sz w:val="21"/>
          <w:szCs w:val="21"/>
          <w:lang w:val="en-US" w:eastAsia="zh-CN" w:bidi="ar-SA"/>
        </w:rPr>
      </w:sdtEndPr>
      <w:sdtContent>
        <w:p w14:paraId="12509E5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b/>
              <w:bCs/>
              <w:sz w:val="32"/>
              <w:szCs w:val="32"/>
            </w:rPr>
            <w:t>目录</w:t>
          </w:r>
        </w:p>
        <w:p w14:paraId="3C8AFFCB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"1-1"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_Toc11484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_Toc11484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029363C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_Toc9801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2. </w:t>
          </w:r>
          <w:r>
            <w:t>市场分析与痛点洞察</w:t>
          </w:r>
          <w:r>
            <w:tab/>
          </w:r>
          <w:r>
            <w:fldChar w:fldCharType="begin"/>
          </w:r>
          <w:r>
            <w:instrText xml:space="preserve"> PAGEREF _Toc9801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6A2042B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_Toc26167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3. </w:t>
          </w:r>
          <w:r>
            <w:rPr>
              <w:rFonts w:hint="eastAsia"/>
            </w:rPr>
            <w:t>SWOT 分析</w:t>
          </w:r>
          <w:r>
            <w:tab/>
          </w:r>
          <w:r>
            <w:fldChar w:fldCharType="begin"/>
          </w:r>
          <w:r>
            <w:instrText xml:space="preserve"> PAGEREF _Toc26167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E3D97F0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_Toc2426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4. </w:t>
          </w:r>
          <w:r>
            <w:t>解决方案</w:t>
          </w:r>
          <w:r>
            <w:tab/>
          </w:r>
          <w:r>
            <w:fldChar w:fldCharType="begin"/>
          </w:r>
          <w:r>
            <w:instrText xml:space="preserve"> PAGEREF _Toc2426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BEEEE5D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_Toc32632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5. </w:t>
          </w:r>
          <w:r>
            <w:t>4P 营销组合策略</w:t>
          </w:r>
          <w:r>
            <w:tab/>
          </w:r>
          <w:r>
            <w:fldChar w:fldCharType="begin"/>
          </w:r>
          <w:r>
            <w:instrText xml:space="preserve"> PAGEREF _Toc32632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DB8D41F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_Toc9049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6. </w:t>
          </w:r>
          <w:r>
            <w:rPr>
              <w:rFonts w:hint="eastAsia"/>
            </w:rPr>
            <w:t>商业模式</w:t>
          </w:r>
          <w:r>
            <w:tab/>
          </w:r>
          <w:r>
            <w:fldChar w:fldCharType="begin"/>
          </w:r>
          <w:r>
            <w:instrText xml:space="preserve"> PAGEREF _Toc9049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A40583D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_Toc30363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7. </w:t>
          </w:r>
          <w:r>
            <w:rPr>
              <w:rFonts w:hint="eastAsia"/>
            </w:rPr>
            <w:t>财务规划</w:t>
          </w:r>
          <w:r>
            <w:tab/>
          </w:r>
          <w:r>
            <w:fldChar w:fldCharType="begin"/>
          </w:r>
          <w:r>
            <w:instrText xml:space="preserve"> PAGEREF _Toc30363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43E00AE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_Toc3801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8. </w:t>
          </w:r>
          <w:r>
            <w:rPr>
              <w:rFonts w:hint="eastAsia"/>
            </w:rPr>
            <w:t>实施计划（三步走战略）</w:t>
          </w:r>
          <w:r>
            <w:tab/>
          </w:r>
          <w:r>
            <w:fldChar w:fldCharType="begin"/>
          </w:r>
          <w:r>
            <w:instrText xml:space="preserve"> PAGEREF _Toc3801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357E6ED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_Toc25601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9. </w:t>
          </w:r>
          <w:r>
            <w:rPr>
              <w:rFonts w:hint="eastAsia"/>
            </w:rPr>
            <w:t>风险评估与应对策略</w:t>
          </w:r>
          <w:r>
            <w:tab/>
          </w:r>
          <w:r>
            <w:fldChar w:fldCharType="begin"/>
          </w:r>
          <w:r>
            <w:instrText xml:space="preserve"> PAGEREF _Toc25601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543AD90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_Toc20241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10. </w:t>
          </w:r>
          <w:r>
            <w:rPr>
              <w:rFonts w:hint="eastAsia"/>
            </w:rPr>
            <w:t>社会价值</w:t>
          </w:r>
          <w:r>
            <w:tab/>
          </w:r>
          <w:r>
            <w:fldChar w:fldCharType="begin"/>
          </w:r>
          <w:r>
            <w:instrText xml:space="preserve"> PAGEREF _Toc20241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6C0535E">
          <w:pPr>
            <w:pStyle w:val="2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_Toc16830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11. </w:t>
          </w:r>
          <w:r>
            <w:t>团队</w:t>
          </w:r>
          <w:r>
            <w:rPr>
              <w:rFonts w:hint="eastAsia"/>
              <w:lang w:val="en-US" w:eastAsia="zh-CN"/>
            </w:rPr>
            <w:t>优势</w:t>
          </w:r>
          <w:r>
            <w:tab/>
          </w:r>
          <w:r>
            <w:fldChar w:fldCharType="begin"/>
          </w:r>
          <w:r>
            <w:instrText xml:space="preserve"> PAGEREF _Toc16830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7E05D4A">
          <w:pPr>
            <w:rPr>
              <w:rFonts w:hint="eastAsia" w:ascii="微软雅黑" w:hAnsi="微软雅黑" w:eastAsia="微软雅黑" w:cstheme="minorBidi"/>
              <w:snapToGrid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4CC907B7">
      <w:pPr>
        <w:rPr>
          <w:rFonts w:hint="eastAsia" w:ascii="微软雅黑" w:hAnsi="微软雅黑" w:eastAsia="微软雅黑" w:cstheme="minorBidi"/>
          <w:snapToGrid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theme="minorBidi"/>
          <w:snapToGrid/>
          <w:kern w:val="2"/>
          <w:sz w:val="21"/>
          <w:szCs w:val="21"/>
          <w:lang w:val="en-US" w:eastAsia="zh-CN" w:bidi="ar-SA"/>
        </w:rPr>
        <w:br w:type="page"/>
      </w:r>
    </w:p>
    <w:p w14:paraId="2CE6B845">
      <w:pPr>
        <w:rPr>
          <w:rFonts w:hint="eastAsia" w:ascii="微软雅黑" w:hAnsi="微软雅黑" w:eastAsia="微软雅黑" w:cstheme="minorBidi"/>
          <w:snapToGrid/>
          <w:kern w:val="2"/>
          <w:sz w:val="21"/>
          <w:szCs w:val="21"/>
          <w:lang w:val="en-US" w:eastAsia="zh-CN" w:bidi="ar-SA"/>
        </w:rPr>
      </w:pPr>
    </w:p>
    <w:p w14:paraId="6117E086">
      <w:pPr>
        <w:pStyle w:val="2"/>
        <w:bidi w:val="0"/>
        <w:spacing w:line="240" w:lineRule="auto"/>
      </w:pPr>
      <w:bookmarkStart w:id="0" w:name="_Toc11484"/>
      <w:r>
        <w:t>项目概述</w:t>
      </w:r>
      <w:bookmarkEnd w:id="0"/>
    </w:p>
    <w:p w14:paraId="26FC9C09">
      <w:pPr>
        <w:spacing w:line="240" w:lineRule="auto"/>
      </w:pPr>
      <w:r>
        <w:t>Stravision莓界是一款AI驱动物联网大棚种植平台，聚焦草莓精准种植领域，以“感知-分析-控制”全闭环智能系统为核心，融合物联网、人工智能、光谱传感等技术，构建覆盖硬件感知、软件管理、数据服务、技术培训的一体化解决方案。平台针对我国草莓种植“中小规模为主、传统模式占比高、数字化程度低”的痛点，通过硬件端AS7341光谱传感器、土壤传感器等设备实现环境数据高精度采集，软件端Web控制台与移动端App多端协同，配备AI助手、数据看板等功能，支持自然语言交互管理。项目以全国1-15亩中小规模种植户为核心目标群体，优先布局江浙地区，逐步拓展至全国及“一带一路”市场，通过“硬件+软件+服务+数据”模式，助力农户实现增产10%-20%、节本20%以上，推动农业从“经验驱动”向“数据驱动”转型。</w:t>
      </w:r>
    </w:p>
    <w:p w14:paraId="196CD792">
      <w:pPr>
        <w:pStyle w:val="2"/>
        <w:bidi w:val="0"/>
        <w:spacing w:line="240" w:lineRule="auto"/>
      </w:pPr>
      <w:bookmarkStart w:id="1" w:name="_Toc9801"/>
      <w:r>
        <w:t>市场分析与痛点洞察</w:t>
      </w:r>
      <w:bookmarkEnd w:id="1"/>
    </w:p>
    <w:p w14:paraId="629FBB2D">
      <w:pPr>
        <w:pStyle w:val="3"/>
        <w:bidi w:val="0"/>
        <w:spacing w:line="240" w:lineRule="auto"/>
      </w:pPr>
      <w:r>
        <w:t>政策风口</w:t>
      </w:r>
    </w:p>
    <w:p w14:paraId="587F86B2">
      <w:pPr>
        <w:spacing w:line="240" w:lineRule="auto"/>
      </w:pPr>
      <w:r>
        <w:t>国家连续多年在中央一号文件中强调智慧农业战略地位，政策支持物联网、人工智能与农业融合，各地政府推出智能设备采购补贴、示范基地建设等扶持措施。生物安全监管与绿色生产标准的推进，进一步倒逼传统种植模式升级，为精准种植平台创造政策落地空间。</w:t>
      </w:r>
    </w:p>
    <w:p w14:paraId="2DEED29C">
      <w:pPr>
        <w:pStyle w:val="3"/>
        <w:bidi w:val="0"/>
        <w:spacing w:line="240" w:lineRule="auto"/>
      </w:pPr>
      <w:r>
        <w:t>行业现状</w:t>
      </w:r>
    </w:p>
    <w:p w14:paraId="63F770E7">
      <w:pPr>
        <w:spacing w:line="240" w:lineRule="auto"/>
      </w:pPr>
      <w:r>
        <w:t>我国草莓种植以中小规模为主（1-5亩占45.45%，1亩以下占30.91%），大规模种植户仅占9.09%；传统模式占比高，露地与大棚地栽合计占72.73%，现代智能模式应用率不足30%。技术应用呈现“简易技术采纳高、精准技术应用低”特点：补光灯（63.64%）、生物农药（58.18%）采纳率较高，滴灌/水肥一体化、温湿度传感器等精准技术应用率仅45.45%，行业依赖传统经验，数字化程度低导致产量品质不稳定、资源浪费严重。</w:t>
      </w:r>
    </w:p>
    <w:p w14:paraId="7DB4837B">
      <w:pPr>
        <w:pStyle w:val="3"/>
        <w:bidi w:val="0"/>
        <w:spacing w:line="240" w:lineRule="auto"/>
      </w:pPr>
      <w:r>
        <w:t>实地调研</w:t>
      </w:r>
    </w:p>
    <w:p w14:paraId="519F24B4">
      <w:pPr>
        <w:bidi w:val="0"/>
        <w:spacing w:line="240" w:lineRule="auto"/>
        <w:ind w:left="0" w:leftChars="0" w:firstLine="0" w:firstLineChars="0"/>
      </w:pPr>
      <w:r>
        <w:t>基于203份农户调研及实地走访，核心发现如下：</w:t>
      </w:r>
    </w:p>
    <w:p w14:paraId="4F33FBA4">
      <w:pPr>
        <w:bidi w:val="0"/>
        <w:spacing w:line="240" w:lineRule="auto"/>
      </w:pPr>
      <w:r>
        <w:t>种植主体特征：41-50岁群体占比40%，种植经验4-10年者达78.18%，新手占比仅3.64%，知识结构传统，新技术接受门槛高。</w:t>
      </w:r>
    </w:p>
    <w:p w14:paraId="04FC87DC">
      <w:pPr>
        <w:bidi w:val="0"/>
        <w:spacing w:line="240" w:lineRule="auto"/>
      </w:pPr>
      <w:r>
        <w:t>技术应用困境：72.73%缺乏系统培训，72.72%面临设备操作维护困难，67.27%认为智能设备操作复杂、学习成本高。</w:t>
      </w:r>
    </w:p>
    <w:p w14:paraId="5D72782D">
      <w:pPr>
        <w:bidi w:val="0"/>
        <w:spacing w:line="240" w:lineRule="auto"/>
      </w:pPr>
      <w:r>
        <w:t>生产核心难题：草莓苗质量（76.36%）、病害识别（76.36%）、肥料配比（74.55%）、土壤连作障碍（70.91%）等问题突出；温湿度控制不精准（70.91%）、浇水凭经验（78.18%）导致产量品质受损。</w:t>
      </w:r>
    </w:p>
    <w:p w14:paraId="1AD4C7FA">
      <w:pPr>
        <w:bidi w:val="0"/>
        <w:spacing w:line="240" w:lineRule="auto"/>
      </w:pPr>
      <w:r>
        <w:t>技术采纳意愿：50.91%农户愿尝试智能灌溉，但38.18%持中性态度；85.45%担忧故障风险，67.28%受周边成功案例影响显著。</w:t>
      </w:r>
    </w:p>
    <w:p w14:paraId="27097162">
      <w:pPr>
        <w:pStyle w:val="3"/>
        <w:bidi w:val="0"/>
        <w:spacing w:line="240" w:lineRule="auto"/>
      </w:pPr>
      <w:r>
        <w:t>核心痛点</w:t>
      </w:r>
    </w:p>
    <w:p w14:paraId="5247EA15">
      <w:pPr>
        <w:bidi w:val="0"/>
        <w:spacing w:line="240" w:lineRule="auto"/>
      </w:pPr>
      <w:r>
        <w:t>生产决策盲目：依赖经验进行品种选择、施肥浇水、病害防治，缺乏数据支撑，导致品种适配差、资源浪费、病害误判。</w:t>
      </w:r>
    </w:p>
    <w:p w14:paraId="1E99913D">
      <w:pPr>
        <w:bidi w:val="0"/>
        <w:spacing w:line="240" w:lineRule="auto"/>
      </w:pPr>
      <w:r>
        <w:t>环境调控粗放：温湿度、光照、CO₂浓度控制不精准，70.91%农户反映温湿度问题引发病害或影响开花坐果，光照不足导致果实糖分低、着色差。</w:t>
      </w:r>
    </w:p>
    <w:p w14:paraId="44263F9C">
      <w:pPr>
        <w:bidi w:val="0"/>
        <w:spacing w:line="240" w:lineRule="auto"/>
      </w:pPr>
      <w:r>
        <w:t>技术应用受阻：72.73%缺乏培训，72.72%面临设备操作困难，67.27%认为学习成本高，85.45%担忧故障风险，形成“想用不会用、敢用怕故障”困境。</w:t>
      </w:r>
    </w:p>
    <w:p w14:paraId="5B21C64F">
      <w:pPr>
        <w:bidi w:val="0"/>
        <w:spacing w:line="240" w:lineRule="auto"/>
      </w:pPr>
      <w:r>
        <w:t>供应链质量管控不足：草莓苗质量问题（76.36%）、土壤连作障碍（70.91%）普遍存在，影响生产基础。</w:t>
      </w:r>
    </w:p>
    <w:p w14:paraId="3AF0732F">
      <w:pPr>
        <w:bidi w:val="0"/>
        <w:spacing w:line="240" w:lineRule="auto"/>
      </w:pPr>
      <w:r>
        <w:t>标准化程度低：疏花疏果、摘叶授粉等操作缺乏统一标准（72.72%认同），果实品质一致性差，市场竞争力不足。</w:t>
      </w:r>
    </w:p>
    <w:p w14:paraId="62A58D31">
      <w:pPr>
        <w:pStyle w:val="3"/>
        <w:bidi w:val="0"/>
        <w:spacing w:line="240" w:lineRule="auto"/>
      </w:pPr>
      <w:r>
        <w:t>目标市场</w:t>
      </w:r>
    </w:p>
    <w:p w14:paraId="1D35E138">
      <w:pPr>
        <w:bidi w:val="0"/>
        <w:spacing w:line="240" w:lineRule="auto"/>
      </w:pPr>
      <w:r>
        <w:t>核心目标群体：全国1-15亩中小规模草莓种植户（合计70.91%），重点覆盖41-50岁有经验、面临生产瓶颈的农户。</w:t>
      </w:r>
    </w:p>
    <w:p w14:paraId="7C7C5FF3">
      <w:pPr>
        <w:bidi w:val="0"/>
        <w:spacing w:line="240" w:lineRule="auto"/>
      </w:pPr>
      <w:r>
        <w:t>重点区域市场：优先布局</w:t>
      </w:r>
      <w:r>
        <w:rPr>
          <w:rFonts w:hint="eastAsia"/>
          <w:lang w:eastAsia="zh-CN"/>
        </w:rPr>
        <w:t>江浙</w:t>
      </w:r>
      <w:r>
        <w:t>地区，后续拓展长三角、珠三角及北方设施农业集中区域。</w:t>
      </w:r>
    </w:p>
    <w:p w14:paraId="0754FE07">
      <w:pPr>
        <w:bidi w:val="0"/>
        <w:spacing w:line="240" w:lineRule="auto"/>
      </w:pPr>
      <w:r>
        <w:t>延伸目标市场：农业合作社、家庭农场、示范基地及科研院校，满足规模化管理、标准化生产与科研实训需求。</w:t>
      </w:r>
    </w:p>
    <w:p w14:paraId="3D6B5062">
      <w:pPr>
        <w:pStyle w:val="3"/>
        <w:bidi w:val="0"/>
        <w:spacing w:line="240" w:lineRule="auto"/>
      </w:pPr>
      <w:r>
        <w:t>市场规模与增长潜力</w:t>
      </w:r>
    </w:p>
    <w:p w14:paraId="051D1C00">
      <w:pPr>
        <w:spacing w:line="240" w:lineRule="auto"/>
        <w:rPr>
          <w:rFonts w:hint="eastAsia"/>
        </w:rPr>
      </w:pPr>
      <w:r>
        <w:t>我国草莓种植面积超200万亩，年产量超300万吨，按每亩智能改造投入5000-10000元计算，设备改造市场规模达100-200亿元。农户对增产（10%-20%）、品质升级、节本（20%以上）需求迫切，叠加政策补贴，市场接受度持续提升。未来5年，智慧草莓种植市场年复合增长率预计达15%-20%，并有望向其他浆果类作物延伸，增长潜力巨大。</w:t>
      </w:r>
    </w:p>
    <w:p w14:paraId="02DFBF51">
      <w:pPr>
        <w:pStyle w:val="2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</w:t>
      </w:r>
      <w:bookmarkStart w:id="2" w:name="_Toc26167"/>
      <w:r>
        <w:rPr>
          <w:rFonts w:hint="eastAsia"/>
        </w:rPr>
        <w:t>SWOT 分析</w:t>
      </w:r>
      <w:bookmarkEnd w:id="2"/>
    </w:p>
    <w:p w14:paraId="04DC90B5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优势（Strengths）</w:t>
      </w:r>
    </w:p>
    <w:p w14:paraId="0736BEFC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技术壁垒</w:t>
      </w:r>
    </w:p>
    <w:p w14:paraId="718B4891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构建 “感知 - 分析 - 控制” 全闭环智能系统，融合 ESP32-C3 硬件模块、AS7341 光谱传感器与 AI 光照策略引擎，精准解决光照优化等核心痛点；软件端支持多端协同，具备数据智能分析、设备协同调控、AI 交互等核心能力，已获多项软件著作权，技术成果标准化落地。</w:t>
      </w:r>
    </w:p>
    <w:p w14:paraId="2141491F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模式创新</w:t>
      </w:r>
    </w:p>
    <w:p w14:paraId="7B3ECBB2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采用 “技术 + 服务 + 数据” 的一体化解决方案，不仅提供硬件设备与软件平台，还配套标准化操作指南（SOP）、技术培训、案例示范等服务，适配中小规模农户需求；支持多大棚集中管理，可灵活扩展传感器与设备，适配生产、教学、科研等多元场景。</w:t>
      </w:r>
    </w:p>
    <w:p w14:paraId="7B2FAAC0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团队实力</w:t>
      </w:r>
    </w:p>
    <w:p w14:paraId="2AC207C1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隶属于宁波城市职业技术学院，形成 “导师引领 + 学生实操”的复合型团队，覆盖物联网、人工智能、农业数字化管理等领域，具备技术研发、系统优化与场景落地全链条能力；已与湖州市迁奕软件科技、宁波中易电子科技等企业达成合作，实现产学研高效联动。</w:t>
      </w:r>
    </w:p>
    <w:p w14:paraId="606DEA46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成本优势</w:t>
      </w:r>
    </w:p>
    <w:p w14:paraId="2E759EF5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采用平台化架构设计与开源技术框架（如 Flask、Next.js），降低研发与维护成本；硬件选型兼顾性能与性价比，适配中小规模农户预算；通过规模化部署与供应链整合，可进一步降低设备采购与服务成本。</w:t>
      </w:r>
    </w:p>
    <w:p w14:paraId="56A64DB1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劣势（Weaknesses）</w:t>
      </w:r>
    </w:p>
    <w:p w14:paraId="4E141BDD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市场教育成本高，农户认知不足</w:t>
      </w:r>
    </w:p>
    <w:p w14:paraId="474BB889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农户长期依赖传统种植经验，对智能种植技术的信任度与接受度有限，需投入大量资源进行市场推广、技术培训与案例示范，市场教育周期较长。</w:t>
      </w:r>
    </w:p>
    <w:p w14:paraId="0AB815D7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重资产投入，繁育工厂建设门槛高</w:t>
      </w:r>
    </w:p>
    <w:p w14:paraId="69C45704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若延伸至草莓苗繁育环节，需投入重资产建设标准化繁育工厂，面临土地、资金、技术等多重门槛，短期内难以快速落地。</w:t>
      </w:r>
    </w:p>
    <w:p w14:paraId="4B1A07CA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区域适配需针对性优化</w:t>
      </w:r>
    </w:p>
    <w:p w14:paraId="3F9801DE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不同地区气候条件、土壤特性、品种差异较大，系统需进行区域化参数调整与功能优化，增加了技术适配与维护成本。</w:t>
      </w:r>
    </w:p>
    <w:p w14:paraId="1956144C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专业服务依赖核心团队</w:t>
      </w:r>
    </w:p>
    <w:p w14:paraId="37272C7A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项目初期的技术培训、系统调试、问题排查等专业服务高度依赖核心团队，服务覆盖范围与响应效率受限，难以快速支撑大规模市场扩张。</w:t>
      </w:r>
    </w:p>
    <w:p w14:paraId="4234F854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机会（Opportunities）</w:t>
      </w:r>
    </w:p>
    <w:p w14:paraId="411A8CBC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政策红利</w:t>
      </w:r>
    </w:p>
    <w:p w14:paraId="0A71D0B7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国家大力支持智慧农业、精准农业发展，各地出台设备补贴、示范基地建设扶持等政策，为项目落地提供政策支持与资金保障。</w:t>
      </w:r>
    </w:p>
    <w:p w14:paraId="53AC530F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消费升级</w:t>
      </w:r>
    </w:p>
    <w:p w14:paraId="3BA0032C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消费者对优质、安全、标准化草莓的需求持续增长，农户对产量提升与品质升级的诉求迫切，为智能种植解决方案创造了广阔市场需求。</w:t>
      </w:r>
    </w:p>
    <w:p w14:paraId="37F74B46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技术迭代</w:t>
      </w:r>
    </w:p>
    <w:p w14:paraId="1196CE4E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物联网、人工智能、传感器技术快速发展，硬件成本持续降低、性能不断提升，为系统优化升级与成本控制提供了技术支撑。</w:t>
      </w:r>
    </w:p>
    <w:p w14:paraId="61B08236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国际拓展</w:t>
      </w:r>
    </w:p>
    <w:p w14:paraId="6BBC94E1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“一带一路” 倡议推动农业技术出海，我国草莓种植技术与智能装备在国际市场具备竞争力，为项目后期全球布局提供了机遇。</w:t>
      </w:r>
    </w:p>
    <w:p w14:paraId="11B8DC46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威胁（Threats）</w:t>
      </w:r>
    </w:p>
    <w:p w14:paraId="2B5C0791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行业竞争加剧</w:t>
      </w:r>
    </w:p>
    <w:p w14:paraId="12A4EDC1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传统农药企业、农业设备厂商纷纷布局智慧农业领域，凭借渠道优势与价格战形成竞争；同时，替代绿色防控技术不断涌现，分流市场需求。</w:t>
      </w:r>
    </w:p>
    <w:p w14:paraId="12616F9A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政策监管收紧</w:t>
      </w:r>
    </w:p>
    <w:p w14:paraId="003AA8F7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生物安全监管、农药使用标准、数据安全法规等政策不断收紧，若系统不符合相关监管要求，可能面临合规风险。</w:t>
      </w:r>
    </w:p>
    <w:p w14:paraId="49E943C2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极端气候影响</w:t>
      </w:r>
    </w:p>
    <w:p w14:paraId="584C6735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全球气候异常导致极端天气频发，可能超出系统环境调控能力范围，影响种植效果与用户信任度。</w:t>
      </w:r>
    </w:p>
    <w:p w14:paraId="5B610F6F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技术替代风险</w:t>
      </w:r>
    </w:p>
    <w:p w14:paraId="6040585E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智慧农业技术迭代速度快，若未能持续投入研发进行技术升级，可能被更先进的技术或产品替代，丧失市场竞争力。</w:t>
      </w:r>
    </w:p>
    <w:p w14:paraId="7CFEA5EF">
      <w:pPr>
        <w:pStyle w:val="2"/>
        <w:bidi w:val="0"/>
        <w:spacing w:line="240" w:lineRule="auto"/>
        <w:rPr>
          <w:rFonts w:hint="eastAsia"/>
        </w:rPr>
      </w:pPr>
      <w:bookmarkStart w:id="3" w:name="_Toc2426"/>
      <w:r>
        <w:t>解决方案</w:t>
      </w:r>
      <w:bookmarkEnd w:id="3"/>
    </w:p>
    <w:p w14:paraId="707E1E91">
      <w:pPr>
        <w:pStyle w:val="3"/>
        <w:bidi w:val="0"/>
        <w:spacing w:line="240" w:lineRule="auto"/>
      </w:pPr>
      <w:r>
        <w:t>核心理念：</w:t>
      </w:r>
    </w:p>
    <w:p w14:paraId="4FEB7ACA">
      <w:pPr>
        <w:spacing w:line="240" w:lineRule="auto"/>
        <w:rPr>
          <w:rFonts w:hint="eastAsia"/>
        </w:rPr>
      </w:pPr>
      <w:r>
        <w:rPr>
          <w:rFonts w:hint="eastAsia"/>
        </w:rPr>
        <w:t>本方案以 “感知-分析-控制”闭环 为核心理念，构建面向草莓精准化种植的智能物联网系统。</w:t>
      </w:r>
    </w:p>
    <w:p w14:paraId="5D876624">
      <w:pPr>
        <w:spacing w:line="240" w:lineRule="auto"/>
        <w:rPr>
          <w:rFonts w:hint="eastAsia"/>
        </w:rPr>
      </w:pPr>
      <w:r>
        <w:rPr>
          <w:rFonts w:hint="eastAsia"/>
        </w:rPr>
        <w:t>通过高精度传感器实时采集环境数据（如土壤湿度、空气温湿度、CO₂浓度、光照光谱等），结合 AI 模型动态分析作物生长需求，自动下发调控指令至执行设备（如补光灯、风扇、水泵），实现对种植环境的自适应、精细化、智能化调控。</w:t>
      </w:r>
    </w:p>
    <w:p w14:paraId="132A2719">
      <w:pPr>
        <w:spacing w:line="240" w:lineRule="auto"/>
      </w:pPr>
      <w:r>
        <w:rPr>
          <w:rFonts w:hint="eastAsia"/>
        </w:rPr>
        <w:t>系统特别聚焦 光环境优化——针对光照不足导致的草莓糖分低、果实小、着色差等问题，引入 AS7341 光谱传感器与 AI 光照策略引擎，确保光质与光强始终处于最佳区间，从而显著提升草莓产量与品质。</w:t>
      </w:r>
    </w:p>
    <w:p w14:paraId="0A1696E2">
      <w:pPr>
        <w:pStyle w:val="3"/>
        <w:bidi w:val="0"/>
        <w:spacing w:line="240" w:lineRule="auto"/>
      </w:pPr>
      <w:r>
        <w:t>系统架构</w:t>
      </w:r>
      <w:r>
        <w:rPr>
          <w:rFonts w:hint="eastAsia"/>
          <w:lang w:val="en-US" w:eastAsia="zh-CN"/>
        </w:rPr>
        <w:t>&amp;</w:t>
      </w:r>
      <w:r>
        <w:t>硬件端：</w:t>
      </w:r>
    </w:p>
    <w:p w14:paraId="1A4FF616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物联网硬件设计架构</w:t>
      </w:r>
    </w:p>
    <w:p w14:paraId="3DD6FA16">
      <w:pPr>
        <w:spacing w:line="240" w:lineRule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-405130</wp:posOffset>
            </wp:positionH>
            <wp:positionV relativeFrom="page">
              <wp:posOffset>3241040</wp:posOffset>
            </wp:positionV>
            <wp:extent cx="6085205" cy="3641725"/>
            <wp:effectExtent l="0" t="0" r="10795" b="635"/>
            <wp:wrapTopAndBottom/>
            <wp:docPr id="1" name="图片 1" descr="ea109d3511bfb38d80866ce657a20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a109d3511bfb38d80866ce657a206a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传感器层采集土壤、空气温湿度、CO2  浓度、光照等环境数据，经传输层上传至系统；系统依据预设模型与策略，通过传输层下发指令至控制模块，驱动设备执行动作，动态调控草莓种植环境，形成“感知-分析-控制 ”闭环，助力草莓精准化、智能化种植。</w:t>
      </w:r>
    </w:p>
    <w:p w14:paraId="2A77D732">
      <w:pPr>
        <w:pStyle w:val="12"/>
        <w:bidi w:val="0"/>
        <w:rPr>
          <w:rFonts w:hint="default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硬件架构图</w:t>
      </w:r>
    </w:p>
    <w:p w14:paraId="0CD91A0B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基于 ESP32-C3 与 AS7341 光谱传感器</w:t>
      </w:r>
    </w:p>
    <w:p w14:paraId="6F5C74E2">
      <w:pPr>
        <w:spacing w:line="240" w:lineRule="auto"/>
        <w:rPr>
          <w:rFonts w:hint="eastAsia"/>
        </w:rPr>
      </w:pPr>
      <w:r>
        <w:rPr>
          <w:rFonts w:hint="eastAsia"/>
        </w:rPr>
        <w:t>光照度不足致草莓糖分少、果小、着色差。ESP32 - C3 与 AS7341 构建检测系统，采集补光灯光谱及照度数据评估光环境适配性。借助 Python 的 Flask 框架对接 HTML 页面，实现补光灯发光参数手动与自动调控。AI 依据光照度生成最优光照方案，提升草莓产量与质量。</w:t>
      </w:r>
    </w:p>
    <w:p w14:paraId="73EE7832">
      <w:pPr>
        <w:pStyle w:val="12"/>
        <w:bidi w:val="0"/>
        <w:rPr>
          <w:rFonts w:hint="default" w:eastAsia="微软雅黑"/>
          <w:lang w:val="en-US" w:eastAsia="zh-CN"/>
        </w:rPr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3175</wp:posOffset>
            </wp:positionH>
            <wp:positionV relativeFrom="page">
              <wp:posOffset>1043940</wp:posOffset>
            </wp:positionV>
            <wp:extent cx="5267960" cy="2119630"/>
            <wp:effectExtent l="0" t="0" r="5080" b="13970"/>
            <wp:wrapTopAndBottom/>
            <wp:docPr id="2" name="图片 2" descr="46f388feea317b298170a704d3afc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6f388feea317b298170a704d3afca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4.2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光谱硬件图</w:t>
      </w:r>
    </w:p>
    <w:p w14:paraId="48994795">
      <w:pPr>
        <w:pStyle w:val="3"/>
        <w:bidi w:val="0"/>
        <w:spacing w:line="240" w:lineRule="auto"/>
      </w:pPr>
      <w:r>
        <w:t>系统架构</w:t>
      </w:r>
      <w:r>
        <w:rPr>
          <w:rFonts w:hint="eastAsia"/>
          <w:lang w:val="en-US" w:eastAsia="zh-CN"/>
        </w:rPr>
        <w:t>&amp;</w:t>
      </w:r>
      <w:r>
        <w:t>软件端：</w:t>
      </w:r>
    </w:p>
    <w:p w14:paraId="2D86F110">
      <w:pPr>
        <w:spacing w:line="240" w:lineRule="auto"/>
        <w:rPr>
          <w:rFonts w:hint="eastAsia" w:eastAsia="微软雅黑"/>
          <w:b/>
          <w:bCs/>
          <w:lang w:eastAsia="zh-CN"/>
        </w:rPr>
      </w:pPr>
    </w:p>
    <w:p w14:paraId="29AE6DB4">
      <w:pPr>
        <w:pStyle w:val="12"/>
        <w:spacing w:line="240" w:lineRule="auto"/>
        <w:rPr>
          <w:rFonts w:hint="default" w:eastAsia="微软雅黑"/>
          <w:b/>
          <w:bCs/>
          <w:lang w:val="en-US" w:eastAsia="zh-CN"/>
        </w:rPr>
      </w:pPr>
      <w:r>
        <w:rPr>
          <w:rFonts w:hint="eastAsia" w:eastAsia="微软雅黑"/>
          <w:b/>
          <w:bCs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6350</wp:posOffset>
            </wp:positionH>
            <wp:positionV relativeFrom="page">
              <wp:posOffset>4333875</wp:posOffset>
            </wp:positionV>
            <wp:extent cx="5262245" cy="3465830"/>
            <wp:effectExtent l="0" t="0" r="10795" b="8890"/>
            <wp:wrapTopAndBottom/>
            <wp:docPr id="3" name="图片 3" descr="32864f51d1563a6efdc09e0147bc2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2864f51d1563a6efdc09e0147bc20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t>软件</w:t>
      </w:r>
      <w:r>
        <w:rPr>
          <w:rFonts w:hint="eastAsia"/>
          <w:lang w:val="en-US" w:eastAsia="zh-CN"/>
        </w:rPr>
        <w:t>系统架构图</w:t>
      </w:r>
    </w:p>
    <w:p w14:paraId="0B0F64BD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接入终端层（Client Layer）</w:t>
      </w:r>
    </w:p>
    <w:p w14:paraId="1EC02C67">
      <w:pPr>
        <w:spacing w:line="240" w:lineRule="auto"/>
        <w:rPr>
          <w:rFonts w:hint="eastAsia"/>
        </w:rPr>
      </w:pPr>
      <w:r>
        <w:rPr>
          <w:rFonts w:hint="eastAsia"/>
        </w:rPr>
        <w:t>用户与系统交互的前端入口，支持多端协同。</w:t>
      </w:r>
    </w:p>
    <w:p w14:paraId="049990E1">
      <w:pPr>
        <w:pStyle w:val="5"/>
        <w:bidi w:val="0"/>
        <w:spacing w:line="240" w:lineRule="auto"/>
        <w:rPr>
          <w:rFonts w:hint="eastAsia"/>
        </w:rPr>
      </w:pPr>
      <w:r>
        <w:rPr>
          <w:rFonts w:hint="eastAsia"/>
        </w:rPr>
        <w:t>Web 管理端</w:t>
      </w:r>
    </w:p>
    <w:p w14:paraId="280CDD38">
      <w:pPr>
        <w:spacing w:line="24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基于 Next.js 构建，主要页面包括：</w:t>
      </w:r>
    </w:p>
    <w:p w14:paraId="625EB407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农作物监测界面</w:t>
      </w:r>
      <w:r>
        <w:rPr>
          <w:rFonts w:hint="eastAsia"/>
          <w:lang w:val="en-US" w:eastAsia="zh-CN"/>
        </w:rPr>
        <w:t>：分析农作物生长状态、病虫害、成熟度</w:t>
      </w:r>
    </w:p>
    <w:p w14:paraId="7DE37C0D">
      <w:pPr>
        <w:spacing w:line="24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1440"/>
            <wp:effectExtent l="0" t="0" r="6350" b="5080"/>
            <wp:docPr id="9" name="图片 9" descr="eb60ff063bb9586036494ecc68491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b60ff063bb9586036494ecc684914b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C5D3">
      <w:pPr>
        <w:pStyle w:val="12"/>
        <w:spacing w:line="240" w:lineRule="auto"/>
        <w:rPr>
          <w:rFonts w:hint="eastAsia"/>
          <w:b/>
          <w:bCs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农作物监测界面</w:t>
      </w:r>
    </w:p>
    <w:p w14:paraId="17A6A4F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大棚数字孪生：</w:t>
      </w:r>
      <w:r>
        <w:rPr>
          <w:rFonts w:hint="eastAsia"/>
          <w:lang w:val="en-US" w:eastAsia="zh-CN"/>
        </w:rPr>
        <w:t>通过实时数据与三维可视化，实现了对物理世界的精准映射与智能管理，极大提升了农业等领域的运营效率与决策能力。</w:t>
      </w:r>
    </w:p>
    <w:p w14:paraId="0C57B519">
      <w:pPr>
        <w:jc w:val="center"/>
        <w:rPr>
          <w:rFonts w:hint="default"/>
          <w:lang w:val="en-US" w:eastAsia="zh-CN"/>
        </w:rPr>
      </w:pPr>
      <w:bookmarkStart w:id="11" w:name="_GoBack"/>
      <w:r>
        <w:drawing>
          <wp:inline distT="0" distB="0" distL="114300" distR="114300">
            <wp:extent cx="5266690" cy="2797810"/>
            <wp:effectExtent l="0" t="0" r="6350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 w14:paraId="58E2BC33">
      <w:pPr>
        <w:spacing w:line="240" w:lineRule="auto"/>
        <w:rPr>
          <w:rFonts w:hint="eastAsia"/>
        </w:rPr>
      </w:pPr>
      <w:r>
        <w:rPr>
          <w:rFonts w:hint="eastAsia"/>
          <w:b/>
          <w:bCs/>
        </w:rPr>
        <w:t>AI 助手</w:t>
      </w:r>
      <w:r>
        <w:rPr>
          <w:rFonts w:hint="eastAsia"/>
          <w:b/>
          <w:bCs/>
          <w:lang w:val="en-US" w:eastAsia="zh-CN"/>
        </w:rPr>
        <w:t>界</w:t>
      </w:r>
      <w:r>
        <w:rPr>
          <w:rFonts w:hint="eastAsia"/>
          <w:b/>
          <w:bCs/>
        </w:rPr>
        <w:t>面</w:t>
      </w:r>
      <w:r>
        <w:rPr>
          <w:rFonts w:hint="eastAsia"/>
        </w:rPr>
        <w:t>：用户通过自然语言与系统交互。</w:t>
      </w:r>
    </w:p>
    <w:p w14:paraId="18C85982">
      <w:pPr>
        <w:spacing w:line="240" w:lineRule="auto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266690" cy="2631440"/>
            <wp:effectExtent l="0" t="0" r="6350" b="5080"/>
            <wp:docPr id="5" name="图片 5" descr="9d35cce0db88e952c2e677df6d777c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d35cce0db88e952c2e677df6d777c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0266">
      <w:pPr>
        <w:pStyle w:val="12"/>
        <w:spacing w:line="240" w:lineRule="auto"/>
        <w:rPr>
          <w:rFonts w:hint="eastAsia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</w:rPr>
        <w:t>AI 助手</w:t>
      </w:r>
      <w:r>
        <w:rPr>
          <w:rFonts w:hint="eastAsia"/>
          <w:b/>
          <w:bCs/>
          <w:lang w:val="en-US" w:eastAsia="zh-CN"/>
        </w:rPr>
        <w:t>界</w:t>
      </w:r>
      <w:r>
        <w:rPr>
          <w:rFonts w:hint="eastAsia"/>
          <w:b/>
          <w:bCs/>
        </w:rPr>
        <w:t>面</w:t>
      </w:r>
    </w:p>
    <w:p w14:paraId="265EC9D7">
      <w:pPr>
        <w:spacing w:line="240" w:lineRule="auto"/>
        <w:rPr>
          <w:rFonts w:hint="eastAsia"/>
          <w:b/>
          <w:bCs/>
        </w:rPr>
      </w:pPr>
    </w:p>
    <w:p w14:paraId="2F578248">
      <w:pPr>
        <w:spacing w:line="240" w:lineRule="auto"/>
        <w:rPr>
          <w:rFonts w:hint="eastAsia"/>
          <w:b/>
          <w:bCs/>
        </w:rPr>
      </w:pPr>
    </w:p>
    <w:p w14:paraId="6BEC92A9">
      <w:pPr>
        <w:spacing w:line="240" w:lineRule="auto"/>
        <w:rPr>
          <w:rFonts w:hint="eastAsia"/>
          <w:b/>
          <w:bCs/>
        </w:rPr>
      </w:pPr>
    </w:p>
    <w:p w14:paraId="0B34DF40">
      <w:pPr>
        <w:spacing w:line="240" w:lineRule="auto"/>
        <w:rPr>
          <w:rFonts w:hint="eastAsia"/>
          <w:b/>
          <w:bCs/>
        </w:rPr>
      </w:pPr>
    </w:p>
    <w:p w14:paraId="3351DBF2">
      <w:pPr>
        <w:spacing w:line="240" w:lineRule="auto"/>
        <w:rPr>
          <w:rFonts w:hint="eastAsia"/>
          <w:b/>
          <w:bCs/>
        </w:rPr>
      </w:pPr>
    </w:p>
    <w:p w14:paraId="0A49CF45">
      <w:pPr>
        <w:spacing w:line="240" w:lineRule="auto"/>
        <w:rPr>
          <w:rFonts w:hint="eastAsia"/>
          <w:b/>
          <w:bCs/>
        </w:rPr>
      </w:pPr>
    </w:p>
    <w:p w14:paraId="0370F6C4">
      <w:pPr>
        <w:spacing w:line="240" w:lineRule="auto"/>
        <w:rPr>
          <w:rFonts w:hint="eastAsia"/>
          <w:b/>
          <w:bCs/>
        </w:rPr>
      </w:pPr>
    </w:p>
    <w:p w14:paraId="1DADAA6B">
      <w:pPr>
        <w:spacing w:line="240" w:lineRule="auto"/>
        <w:rPr>
          <w:rFonts w:hint="eastAsia"/>
          <w:b/>
          <w:bCs/>
        </w:rPr>
      </w:pPr>
    </w:p>
    <w:p w14:paraId="3D0B6E87">
      <w:pPr>
        <w:spacing w:line="240" w:lineRule="auto"/>
        <w:rPr>
          <w:rFonts w:hint="eastAsia"/>
          <w:b/>
          <w:bCs/>
        </w:rPr>
      </w:pPr>
    </w:p>
    <w:p w14:paraId="11DB4714">
      <w:pPr>
        <w:spacing w:line="240" w:lineRule="auto"/>
        <w:rPr>
          <w:rFonts w:hint="eastAsia"/>
          <w:b/>
          <w:bCs/>
        </w:rPr>
      </w:pPr>
    </w:p>
    <w:p w14:paraId="429E26D2">
      <w:pPr>
        <w:spacing w:line="240" w:lineRule="auto"/>
        <w:rPr>
          <w:rFonts w:hint="eastAsia" w:eastAsia="微软雅黑"/>
          <w:lang w:eastAsia="zh-CN"/>
        </w:rPr>
      </w:pPr>
      <w:r>
        <w:rPr>
          <w:rFonts w:hint="eastAsia"/>
          <w:b/>
          <w:bCs/>
          <w:lang w:val="en-US" w:eastAsia="zh-CN"/>
        </w:rPr>
        <w:t>数据看板界</w:t>
      </w:r>
      <w:r>
        <w:rPr>
          <w:rFonts w:hint="eastAsia"/>
          <w:b/>
          <w:bCs/>
        </w:rPr>
        <w:t>面</w:t>
      </w:r>
      <w:r>
        <w:rPr>
          <w:rFonts w:hint="eastAsia"/>
        </w:rPr>
        <w:t>：展示设备状态、天气、趋势图表等。</w:t>
      </w:r>
      <w:r>
        <w:rPr>
          <w:rFonts w:hint="eastAsia" w:eastAsia="微软雅黑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3810</wp:posOffset>
            </wp:positionH>
            <wp:positionV relativeFrom="page">
              <wp:posOffset>2024380</wp:posOffset>
            </wp:positionV>
            <wp:extent cx="5266690" cy="2631440"/>
            <wp:effectExtent l="0" t="0" r="6350" b="5080"/>
            <wp:wrapTopAndBottom/>
            <wp:docPr id="17" name="图片 17" descr="0dc3fc25ae5e840fd977bb2c8b651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dc3fc25ae5e840fd977bb2c8b65138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871BE">
      <w:pPr>
        <w:pStyle w:val="12"/>
        <w:spacing w:line="240" w:lineRule="auto"/>
        <w:rPr>
          <w:rFonts w:hint="default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数据看板界</w:t>
      </w:r>
      <w:r>
        <w:rPr>
          <w:rFonts w:hint="eastAsia"/>
          <w:b/>
          <w:bCs/>
        </w:rPr>
        <w:t>面</w:t>
      </w:r>
    </w:p>
    <w:p w14:paraId="50F1DB5D"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设备控制界面：</w:t>
      </w:r>
      <w:r>
        <w:rPr>
          <w:rFonts w:hint="eastAsia"/>
          <w:lang w:val="en-US" w:eastAsia="zh-CN"/>
        </w:rPr>
        <w:t>包含补光灯、风扇、水泵等的控制。</w:t>
      </w:r>
      <w:r>
        <w:rPr>
          <w:rFonts w:hint="default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3810</wp:posOffset>
            </wp:positionH>
            <wp:positionV relativeFrom="page">
              <wp:posOffset>5240020</wp:posOffset>
            </wp:positionV>
            <wp:extent cx="5267325" cy="2513965"/>
            <wp:effectExtent l="0" t="0" r="5715" b="635"/>
            <wp:wrapTopAndBottom/>
            <wp:docPr id="8" name="图片 8" descr="lQLPKHoh6qNHs-vNA47NB3Ow0TtM5XOaL4kJJu9sYEWgAA_1907_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lQLPKHoh6qNHs-vNA47NB3Ow0TtM5XOaL4kJJu9sYEWgAA_1907_9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C9F75">
      <w:pPr>
        <w:pStyle w:val="12"/>
        <w:spacing w:line="240" w:lineRule="auto"/>
        <w:rPr>
          <w:rFonts w:hint="default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硬件设备控制界面</w:t>
      </w:r>
    </w:p>
    <w:p w14:paraId="542A08C9">
      <w:pPr>
        <w:spacing w:line="240" w:lineRule="auto"/>
        <w:rPr>
          <w:rFonts w:hint="eastAsia"/>
        </w:rPr>
      </w:pPr>
      <w:r>
        <w:rPr>
          <w:rFonts w:hint="eastAsia"/>
        </w:rPr>
        <w:t>页面通过 React Context 获取实时数据：</w:t>
      </w:r>
    </w:p>
    <w:p w14:paraId="685EA950">
      <w:pPr>
        <w:spacing w:line="240" w:lineRule="auto"/>
        <w:rPr>
          <w:rFonts w:hint="eastAsia"/>
        </w:rPr>
      </w:pPr>
      <w:r>
        <w:rPr>
          <w:rFonts w:hint="eastAsia"/>
        </w:rPr>
        <w:t>const { deviceData, connectionStatus } = useDeviceData();</w:t>
      </w:r>
    </w:p>
    <w:p w14:paraId="3A80A323">
      <w:pPr>
        <w:spacing w:line="240" w:lineRule="auto"/>
        <w:rPr>
          <w:rFonts w:hint="eastAsia"/>
        </w:rPr>
      </w:pPr>
      <w:r>
        <w:rPr>
          <w:rFonts w:hint="eastAsia"/>
        </w:rPr>
        <w:t>const { weatherData } = useWeatherContext();</w:t>
      </w:r>
    </w:p>
    <w:p w14:paraId="291334A3">
      <w:pPr>
        <w:pStyle w:val="5"/>
        <w:bidi w:val="0"/>
        <w:spacing w:line="240" w:lineRule="auto"/>
        <w:rPr>
          <w:rFonts w:hint="eastAsia"/>
        </w:rPr>
      </w:pPr>
      <w:r>
        <w:rPr>
          <w:rFonts w:hint="eastAsia"/>
        </w:rPr>
        <w:t>移动端 App</w:t>
      </w:r>
    </w:p>
    <w:p w14:paraId="5859A73E">
      <w:pPr>
        <w:spacing w:line="240" w:lineRule="auto"/>
        <w:rPr>
          <w:rFonts w:hint="eastAsia"/>
        </w:rPr>
      </w:pPr>
      <w:r>
        <w:rPr>
          <w:rFonts w:hint="eastAsia"/>
        </w:rPr>
        <w:t>UI 实现， components/mobile-bottom-nav.tsx 和 page-navigation.tsx，在为移动设备优化的导航结构。</w:t>
      </w:r>
    </w:p>
    <w:p w14:paraId="1F3FCF9F">
      <w:pPr>
        <w:pStyle w:val="12"/>
        <w:spacing w:line="240" w:lineRule="auto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11430</wp:posOffset>
            </wp:positionH>
            <wp:positionV relativeFrom="page">
              <wp:posOffset>1051560</wp:posOffset>
            </wp:positionV>
            <wp:extent cx="5251450" cy="1863090"/>
            <wp:effectExtent l="0" t="0" r="6350" b="11430"/>
            <wp:wrapTopAndBottom/>
            <wp:docPr id="12" name="图片 12" descr="db57c3e2bd7fb32d1a930b5052f99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b57c3e2bd7fb32d1a930b5052f9936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移动端</w:t>
      </w:r>
      <w:r>
        <w:rPr>
          <w:rFonts w:hint="eastAsia"/>
          <w:lang w:val="en-US" w:eastAsia="zh-CN"/>
        </w:rPr>
        <w:t>界面</w:t>
      </w:r>
    </w:p>
    <w:p w14:paraId="0A994009">
      <w:pPr>
        <w:spacing w:line="240" w:lineRule="auto"/>
        <w:rPr>
          <w:rFonts w:hint="eastAsia"/>
          <w:lang w:eastAsia="zh-CN"/>
        </w:rPr>
      </w:pPr>
    </w:p>
    <w:p w14:paraId="3F2C6A92">
      <w:pPr>
        <w:pStyle w:val="5"/>
        <w:bidi w:val="0"/>
        <w:spacing w:line="240" w:lineRule="auto"/>
        <w:rPr>
          <w:rFonts w:hint="eastAsia"/>
        </w:rPr>
      </w:pPr>
      <w:r>
        <w:rPr>
          <w:rFonts w:hint="eastAsia"/>
        </w:rPr>
        <w:t>IoT 设备终端</w:t>
      </w:r>
    </w:p>
    <w:p w14:paraId="001305C3">
      <w:pPr>
        <w:spacing w:line="240" w:lineRule="auto"/>
        <w:rPr>
          <w:rFonts w:hint="eastAsia"/>
        </w:rPr>
      </w:pPr>
      <w:r>
        <w:rPr>
          <w:rFonts w:hint="eastAsia"/>
        </w:rPr>
        <w:t>设备通过 MQTT 协议 上报数据（见 lib/mqtt-service.ts），并与 SSE（Server-Sent Events）形成互补：</w:t>
      </w:r>
    </w:p>
    <w:p w14:paraId="3BE7F93C">
      <w:pPr>
        <w:spacing w:line="240" w:lineRule="auto"/>
        <w:rPr>
          <w:rFonts w:hint="eastAsia"/>
        </w:rPr>
      </w:pPr>
      <w:r>
        <w:rPr>
          <w:rFonts w:hint="eastAsia"/>
        </w:rPr>
        <w:t>SSE：用于从服务端向 Web 客户端推送实时设备流数据（亚秒级延迟）。</w:t>
      </w:r>
    </w:p>
    <w:p w14:paraId="59B755D9">
      <w:pPr>
        <w:spacing w:line="240" w:lineRule="auto"/>
        <w:rPr>
          <w:rFonts w:hint="eastAsia"/>
        </w:rPr>
      </w:pPr>
      <w:r>
        <w:rPr>
          <w:rFonts w:hint="eastAsia"/>
        </w:rPr>
        <w:t>MQTT：用于设备与后端之间的双向通信，适用于资源受限的嵌入式设备（如 ESP32）。</w:t>
      </w:r>
    </w:p>
    <w:p w14:paraId="23DC9E7E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API 网关层（API Gateway Layer）</w:t>
      </w:r>
    </w:p>
    <w:p w14:paraId="2C29A568">
      <w:pPr>
        <w:spacing w:line="240" w:lineRule="auto"/>
        <w:ind w:left="0" w:leftChars="0" w:firstLine="420" w:firstLineChars="0"/>
        <w:rPr>
          <w:rFonts w:hint="eastAsia"/>
        </w:rPr>
      </w:pPr>
      <w:r>
        <w:rPr>
          <w:rFonts w:hint="eastAsia"/>
        </w:rPr>
        <w:t>统一请求入口，处理认证、路由与协议适配。</w:t>
      </w:r>
    </w:p>
    <w:p w14:paraId="173A8077">
      <w:pPr>
        <w:bidi w:val="0"/>
        <w:rPr>
          <w:rFonts w:hint="eastAsia"/>
        </w:rPr>
      </w:pPr>
      <w:r>
        <w:rPr>
          <w:rFonts w:hint="eastAsia"/>
        </w:rPr>
        <w:t>RESTful API 接口</w:t>
      </w:r>
      <w:r>
        <w:rPr>
          <w:rFonts w:hint="eastAsia"/>
          <w:lang w:eastAsia="zh-CN"/>
        </w:rPr>
        <w:t>：</w:t>
      </w:r>
      <w:r>
        <w:rPr>
          <w:rFonts w:hint="eastAsia"/>
        </w:rPr>
        <w:t>AI 助手通过 POST /api/chat 发送请求，携带：用户消息、会话历史</w:t>
      </w:r>
      <w:r>
        <w:rPr>
          <w:rFonts w:hint="eastAsia"/>
          <w:lang w:eastAsia="zh-CN"/>
        </w:rPr>
        <w:t>、</w:t>
      </w:r>
      <w:r>
        <w:rPr>
          <w:rFonts w:hint="eastAsia"/>
        </w:rPr>
        <w:t>模型配置（如是否启用视觉模型）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上下文数据（deviceData, weatherData）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认证凭证（API Key 或 Session Token）</w:t>
      </w:r>
    </w:p>
    <w:p w14:paraId="2846A4EC">
      <w:pPr>
        <w:bidi w:val="0"/>
        <w:rPr>
          <w:rFonts w:hint="eastAsia"/>
        </w:rPr>
      </w:pPr>
      <w:r>
        <w:rPr>
          <w:rFonts w:hint="eastAsia"/>
        </w:rPr>
        <w:t>Server-Sent Events (SSE)</w:t>
      </w:r>
      <w:r>
        <w:rPr>
          <w:rFonts w:hint="eastAsia"/>
          <w:lang w:eastAsia="zh-CN"/>
        </w:rPr>
        <w:t>：</w:t>
      </w:r>
      <w:r>
        <w:rPr>
          <w:rFonts w:hint="eastAsia"/>
        </w:rPr>
        <w:t>后端以流式方式返回 AI 生成内容</w:t>
      </w:r>
      <w:r>
        <w:rPr>
          <w:rFonts w:hint="eastAsia"/>
          <w:lang w:eastAsia="zh-CN"/>
        </w:rPr>
        <w:t>，</w:t>
      </w:r>
      <w:r>
        <w:rPr>
          <w:rFonts w:hint="eastAsia"/>
        </w:rPr>
        <w:t>前端逐行解析 data: {...} 格式的 JSON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实时更新 UI，并提取 &lt;REASONING&gt;...&lt;/REASONING&gt; 等结构化标签</w:t>
      </w:r>
    </w:p>
    <w:p w14:paraId="76C0C1CD">
      <w:pPr>
        <w:bidi w:val="0"/>
        <w:rPr>
          <w:rFonts w:hint="eastAsia"/>
        </w:rPr>
      </w:pPr>
      <w:r>
        <w:rPr>
          <w:rFonts w:hint="eastAsia"/>
        </w:rPr>
        <w:t>身份认证与限流</w:t>
      </w:r>
      <w:r>
        <w:rPr>
          <w:rFonts w:hint="eastAsia"/>
          <w:lang w:eastAsia="zh-CN"/>
        </w:rPr>
        <w:t>：</w:t>
      </w:r>
      <w:r>
        <w:rPr>
          <w:rFonts w:hint="eastAsia"/>
        </w:rPr>
        <w:t>JWT 实现，用户系统支持 OAuth（微信、企业微信等），存在基于 Token 的认证机制。“Rate Limit”作为架构组件。</w:t>
      </w:r>
    </w:p>
    <w:p w14:paraId="1D89695D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业务服务层（Business Service Layer）</w:t>
      </w:r>
    </w:p>
    <w:p w14:paraId="244464EA">
      <w:pPr>
        <w:spacing w:line="240" w:lineRule="auto"/>
        <w:rPr>
          <w:rFonts w:hint="eastAsia"/>
        </w:rPr>
      </w:pPr>
      <w:r>
        <w:rPr>
          <w:rFonts w:hint="eastAsia"/>
        </w:rPr>
        <w:t>核心功能模块，驱动平台智能化。</w:t>
      </w:r>
    </w:p>
    <w:p w14:paraId="3C929229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设备与用户管理</w:t>
      </w:r>
    </w:p>
    <w:p w14:paraId="2DA48E5D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设备管理</w:t>
      </w:r>
      <w:r>
        <w:rPr>
          <w:rFonts w:hint="eastAsia"/>
          <w:lang w:eastAsia="zh-CN"/>
        </w:rPr>
        <w:t>：</w:t>
      </w:r>
      <w:r>
        <w:rPr>
          <w:rFonts w:hint="eastAsia"/>
        </w:rPr>
        <w:t>通过 useDeviceData() Hook 提供统一设备数据访问</w:t>
      </w:r>
      <w:r>
        <w:rPr>
          <w:rFonts w:hint="eastAsia"/>
          <w:lang w:eastAsia="zh-CN"/>
        </w:rPr>
        <w:t>，</w:t>
      </w:r>
      <w:r>
        <w:rPr>
          <w:rFonts w:hint="eastAsia"/>
        </w:rPr>
        <w:t>支持连接状态监控（connected, error, lastUpdate）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断连时显示“未连接”徽章，并保留最后已知值（优雅降级）</w:t>
      </w:r>
    </w:p>
    <w:p w14:paraId="7FF8687E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用户中心</w:t>
      </w:r>
      <w:r>
        <w:rPr>
          <w:rFonts w:hint="eastAsia"/>
          <w:lang w:eastAsia="zh-CN"/>
        </w:rPr>
        <w:t>：</w:t>
      </w:r>
      <w:r>
        <w:rPr>
          <w:rFonts w:hint="eastAsia"/>
        </w:rPr>
        <w:t>用户表自动添加 role（默认 'user'）和 permissions 字段</w:t>
      </w:r>
      <w:r>
        <w:rPr>
          <w:rFonts w:hint="eastAsia"/>
          <w:lang w:eastAsia="zh-CN"/>
        </w:rPr>
        <w:t>，</w:t>
      </w:r>
      <w:r>
        <w:rPr>
          <w:rFonts w:hint="eastAsia"/>
        </w:rPr>
        <w:t>支持多平台 OAuth 登录（微信、QQ、支付宝、企业微信）</w:t>
      </w:r>
    </w:p>
    <w:p w14:paraId="2871D929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智能交互服务</w:t>
      </w:r>
    </w:p>
    <w:p w14:paraId="636BE7CD">
      <w:pPr>
        <w:bidi w:val="0"/>
        <w:spacing w:line="240" w:lineRule="auto"/>
        <w:rPr>
          <w:rFonts w:hint="eastAsia" w:eastAsia="微软雅黑"/>
          <w:lang w:val="en-US" w:eastAsia="zh-CN"/>
        </w:rPr>
      </w:pPr>
      <w:r>
        <w:rPr>
          <w:rFonts w:hint="eastAsia"/>
        </w:rPr>
        <w:t>AI 助手</w:t>
      </w:r>
      <w:r>
        <w:rPr>
          <w:rFonts w:hint="eastAsia"/>
          <w:lang w:eastAsia="zh-CN"/>
        </w:rPr>
        <w:t>：</w:t>
      </w:r>
      <w:r>
        <w:rPr>
          <w:rFonts w:hint="eastAsia"/>
        </w:rPr>
        <w:t>支持上下文感知问答（如“当前湿度是多少？”）</w:t>
      </w:r>
    </w:p>
    <w:p w14:paraId="642F81EA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可生成结构化输出：</w:t>
      </w:r>
    </w:p>
    <w:p w14:paraId="29EB9D2A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&lt;CHART&gt;：渲染 ECharts/Vega-Lite 图表</w:t>
      </w:r>
    </w:p>
    <w:p w14:paraId="24355EA0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&lt;TASK_LIST&gt;：展示计划任务</w:t>
      </w:r>
    </w:p>
    <w:p w14:paraId="2A9DF6A2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&lt;CONTROL_BENTO&gt;：设备控制面板</w:t>
      </w:r>
    </w:p>
    <w:p w14:paraId="274860FE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&lt;SPECTRAL&gt;：光谱分析图</w:t>
      </w:r>
    </w:p>
    <w:p w14:paraId="4C558037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支持 视觉模型（VLM）：用户可上传图片，AI 进行图像理解</w:t>
      </w:r>
    </w:p>
    <w:p w14:paraId="010C4C79">
      <w:pPr>
        <w:bidi w:val="0"/>
        <w:spacing w:line="240" w:lineRule="auto"/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8890</wp:posOffset>
            </wp:positionH>
            <wp:positionV relativeFrom="page">
              <wp:posOffset>4326890</wp:posOffset>
            </wp:positionV>
            <wp:extent cx="5256530" cy="2792095"/>
            <wp:effectExtent l="0" t="0" r="1270" b="12065"/>
            <wp:wrapTopAndBottom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rcRect r="979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即时通讯</w:t>
      </w:r>
      <w:r>
        <w:rPr>
          <w:rFonts w:hint="eastAsia"/>
          <w:lang w:eastAsia="zh-CN"/>
        </w:rPr>
        <w:t>：</w:t>
      </w:r>
      <w:r>
        <w:rPr>
          <w:rFonts w:hint="eastAsia"/>
        </w:rPr>
        <w:t>消息表（messages）新增 group_id 字段，支持群聊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好友表（friends）增加 is_blocked 字段，实现防骚扰</w:t>
      </w:r>
    </w:p>
    <w:p w14:paraId="0BA0BFAA">
      <w:pPr>
        <w:pStyle w:val="12"/>
        <w:spacing w:line="240" w:lineRule="auto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平台聊天界面</w:t>
      </w:r>
    </w:p>
    <w:p w14:paraId="6407F45E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基础服务层（Infrastructure Layer）</w:t>
      </w:r>
    </w:p>
    <w:p w14:paraId="71F3ECFA">
      <w:pPr>
        <w:spacing w:line="240" w:lineRule="auto"/>
        <w:rPr>
          <w:rFonts w:hint="eastAsia"/>
        </w:rPr>
      </w:pPr>
      <w:r>
        <w:rPr>
          <w:rFonts w:hint="eastAsia"/>
        </w:rPr>
        <w:t>共享能力支撑，保障系统稳定运行。</w:t>
      </w:r>
    </w:p>
    <w:p w14:paraId="46A1183F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MQTT 服务</w:t>
      </w:r>
      <w:r>
        <w:rPr>
          <w:rFonts w:hint="eastAsia"/>
          <w:lang w:eastAsia="zh-CN"/>
        </w:rPr>
        <w:t>：</w:t>
      </w:r>
      <w:r>
        <w:rPr>
          <w:rFonts w:hint="eastAsia"/>
        </w:rPr>
        <w:t>负责与 IoT 设备建立长连接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接收传感器数据，下发控制命令</w:t>
      </w:r>
    </w:p>
    <w:p w14:paraId="55AE1204">
      <w:pPr>
        <w:bidi w:val="0"/>
        <w:spacing w:line="240" w:lineRule="auto"/>
        <w:rPr>
          <w:rFonts w:hint="eastAsia"/>
        </w:rPr>
      </w:pPr>
    </w:p>
    <w:p w14:paraId="3DC07A4C">
      <w:pPr>
        <w:pStyle w:val="12"/>
        <w:bidi w:val="0"/>
        <w:jc w:val="center"/>
        <w:rPr>
          <w:rFonts w:hint="default" w:eastAsia="微软雅黑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511175</wp:posOffset>
            </wp:positionH>
            <wp:positionV relativeFrom="page">
              <wp:posOffset>1085215</wp:posOffset>
            </wp:positionV>
            <wp:extent cx="4251325" cy="2599055"/>
            <wp:effectExtent l="0" t="0" r="635" b="6985"/>
            <wp:wrapTopAndBottom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mqtt界面</w:t>
      </w:r>
    </w:p>
    <w:p w14:paraId="5C6C424B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任务调度</w:t>
      </w:r>
      <w:r>
        <w:rPr>
          <w:rFonts w:hint="eastAsia"/>
          <w:lang w:eastAsia="zh-CN"/>
        </w:rPr>
        <w:t>：</w:t>
      </w:r>
      <w:r>
        <w:rPr>
          <w:rFonts w:hint="eastAsia"/>
        </w:rPr>
        <w:t>“Scheduled tasks list”，定时任务机制（如每日数据汇总、设备巡检）</w:t>
      </w:r>
    </w:p>
    <w:p w14:paraId="3C6AC06F">
      <w:pPr>
        <w:bidi w:val="0"/>
        <w:spacing w:line="240" w:lineRule="auto"/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634365</wp:posOffset>
            </wp:positionH>
            <wp:positionV relativeFrom="page">
              <wp:posOffset>4596130</wp:posOffset>
            </wp:positionV>
            <wp:extent cx="4006215" cy="1849755"/>
            <wp:effectExtent l="0" t="0" r="1905" b="9525"/>
            <wp:wrapTopAndBottom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通知服务</w:t>
      </w:r>
      <w:r>
        <w:rPr>
          <w:rFonts w:hint="eastAsia"/>
          <w:lang w:eastAsia="zh-CN"/>
        </w:rPr>
        <w:t>：</w:t>
      </w:r>
      <w:r>
        <w:rPr>
          <w:rFonts w:hint="eastAsia"/>
        </w:rPr>
        <w:t>“告警系统”作为业务模块存在，依赖底层通知通道（邮件/推送）</w:t>
      </w:r>
    </w:p>
    <w:p w14:paraId="244EB943">
      <w:pPr>
        <w:pStyle w:val="12"/>
        <w:bidi w:val="0"/>
        <w:spacing w:line="240" w:lineRule="auto"/>
        <w:rPr>
          <w:rFonts w:hint="eastAsia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“告警系统”</w:t>
      </w:r>
      <w:r>
        <w:rPr>
          <w:rFonts w:hint="eastAsia"/>
          <w:lang w:val="en-US" w:eastAsia="zh-CN"/>
        </w:rPr>
        <w:t>弹窗</w:t>
      </w:r>
    </w:p>
    <w:p w14:paraId="488F7CC6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文件存储</w:t>
      </w:r>
      <w:r>
        <w:rPr>
          <w:rFonts w:hint="eastAsia"/>
          <w:lang w:eastAsia="zh-CN"/>
        </w:rPr>
        <w:t>：</w:t>
      </w:r>
      <w:r>
        <w:rPr>
          <w:rFonts w:hint="eastAsia"/>
        </w:rPr>
        <w:t>视觉模型支持图片上传，暗示存在临时或持久化文件存储服务</w:t>
      </w:r>
    </w:p>
    <w:p w14:paraId="24AA3BCF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数据处理层（Data Processing Layer）</w:t>
      </w:r>
    </w:p>
    <w:p w14:paraId="70F5F478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数据缓存与同步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使用 React Context（DeviceContext, WeatherContext）实现跨组件数据共享</w:t>
      </w:r>
      <w:r>
        <w:rPr>
          <w:rFonts w:hint="eastAsia"/>
          <w:lang w:eastAsia="zh-CN"/>
        </w:rPr>
        <w:t>，</w:t>
      </w:r>
      <w:r>
        <w:rPr>
          <w:rFonts w:hint="eastAsia"/>
        </w:rPr>
        <w:t>避免重复网络请求，提升性能</w:t>
      </w:r>
    </w:p>
    <w:p w14:paraId="29C62CFE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数据校验</w:t>
      </w:r>
      <w:r>
        <w:rPr>
          <w:rFonts w:hint="eastAsia"/>
          <w:lang w:eastAsia="zh-CN"/>
        </w:rPr>
        <w:t>：</w:t>
      </w:r>
      <w:r>
        <w:rPr>
          <w:rFonts w:hint="eastAsia"/>
        </w:rPr>
        <w:t>结构化输出（如 JSON 图表、设备命令）均经过 try-catch 解析</w:t>
      </w:r>
      <w:r>
        <w:rPr>
          <w:rFonts w:hint="eastAsia"/>
          <w:lang w:eastAsia="zh-CN"/>
        </w:rPr>
        <w:t>。</w:t>
      </w:r>
      <w:r>
        <w:rPr>
          <w:rFonts w:hint="eastAsia"/>
        </w:rPr>
        <w:t>解析失败时：图表显示红色错误提示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任务列表静默跳过（return null）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体现 Zod 式 的运行时校验思想（虽未直接使用 Zod 库）</w:t>
      </w:r>
    </w:p>
    <w:p w14:paraId="05736689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事务与 ORMSQLite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操作封装在 lib/db/database.ts批量导入用户数据时使用事务（BEGIN / COMMIT）自动建表、加列，实现轻量级 ORM 映射</w:t>
      </w:r>
    </w:p>
    <w:p w14:paraId="10C5175E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数据存储层（Data Storage Layer）</w:t>
      </w:r>
    </w:p>
    <w:p w14:paraId="370EA83C">
      <w:pPr>
        <w:spacing w:line="240" w:lineRule="auto"/>
        <w:rPr>
          <w:rFonts w:hint="eastAsia"/>
        </w:rPr>
      </w:pPr>
      <w:r>
        <w:rPr>
          <w:rFonts w:hint="eastAsia"/>
        </w:rPr>
        <w:t>多类型数据持久化方案。</w:t>
      </w:r>
    </w:p>
    <w:p w14:paraId="21F62D55">
      <w:pPr>
        <w:pStyle w:val="12"/>
        <w:bidi w:val="0"/>
        <w:spacing w:line="240" w:lineRule="auto"/>
        <w:rPr>
          <w:rFonts w:hint="eastAsia" w:eastAsia="微软雅黑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708025</wp:posOffset>
            </wp:positionH>
            <wp:positionV relativeFrom="page">
              <wp:posOffset>1184275</wp:posOffset>
            </wp:positionV>
            <wp:extent cx="3891915" cy="3030220"/>
            <wp:effectExtent l="0" t="0" r="9525" b="2540"/>
            <wp:wrapTopAndBottom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4.7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数据</w:t>
      </w:r>
      <w:r>
        <w:rPr>
          <w:rFonts w:hint="eastAsia"/>
          <w:lang w:val="en-US" w:eastAsia="zh-CN"/>
        </w:rPr>
        <w:t>库架构图</w:t>
      </w:r>
    </w:p>
    <w:p w14:paraId="55DD2ACB">
      <w:pPr>
        <w:bidi w:val="0"/>
        <w:spacing w:line="240" w:lineRule="auto"/>
        <w:rPr>
          <w:rFonts w:hint="eastAsia"/>
          <w:lang w:eastAsia="zh-CN"/>
        </w:rPr>
      </w:pPr>
      <w:r>
        <w:rPr>
          <w:rFonts w:hint="eastAsia"/>
        </w:rPr>
        <w:t>SQLite</w:t>
      </w:r>
      <w:r>
        <w:rPr>
          <w:rFonts w:hint="eastAsia"/>
          <w:lang w:eastAsia="zh-CN"/>
        </w:rPr>
        <w:t>：</w:t>
      </w:r>
      <w:r>
        <w:rPr>
          <w:rFonts w:hint="eastAsia"/>
        </w:rPr>
        <w:t>作为主数据库，存储用户信息（含 OAuth ID）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好友关系与屏蔽状态</w:t>
      </w:r>
      <w:r>
        <w:rPr>
          <w:rFonts w:hint="eastAsia"/>
          <w:lang w:eastAsia="zh-CN"/>
        </w:rPr>
        <w:t>、</w:t>
      </w:r>
      <w:r>
        <w:rPr>
          <w:rFonts w:hint="eastAsia"/>
        </w:rPr>
        <w:t>聊天消息（支持群聊）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采用单例模式管理连接，线程安全</w:t>
      </w:r>
      <w:r>
        <w:rPr>
          <w:rFonts w:hint="eastAsia"/>
          <w:lang w:eastAsia="zh-CN"/>
        </w:rPr>
        <w:t>。</w:t>
      </w:r>
    </w:p>
    <w:p w14:paraId="73E80ED3">
      <w:pPr>
        <w:spacing w:line="240" w:lineRule="auto"/>
        <w:rPr>
          <w:rFonts w:hint="eastAsia" w:eastAsia="微软雅黑"/>
          <w:lang w:eastAsia="zh-CN"/>
        </w:rPr>
      </w:pPr>
      <w:r>
        <w:rPr>
          <w:rFonts w:hint="eastAsia"/>
        </w:rPr>
        <w:t>文件系统</w:t>
      </w:r>
      <w:r>
        <w:rPr>
          <w:rFonts w:hint="eastAsia"/>
          <w:lang w:eastAsia="zh-CN"/>
        </w:rPr>
        <w:t>：</w:t>
      </w:r>
      <w:r>
        <w:rPr>
          <w:rFonts w:hint="eastAsia"/>
        </w:rPr>
        <w:t>存储旧版迁移数据（如 data/users.json）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成功导入后重命名为 users.json.migrated，防止重复执行</w:t>
      </w:r>
      <w:r>
        <w:rPr>
          <w:rFonts w:hint="eastAsia"/>
          <w:lang w:eastAsia="zh-CN"/>
        </w:rPr>
        <w:t>。</w:t>
      </w:r>
    </w:p>
    <w:p w14:paraId="48E68C6B">
      <w:pPr>
        <w:bidi w:val="0"/>
        <w:spacing w:line="240" w:lineRule="auto"/>
        <w:rPr>
          <w:rFonts w:hint="eastAsia" w:eastAsia="微软雅黑"/>
          <w:lang w:eastAsia="zh-CN"/>
        </w:rPr>
      </w:pPr>
      <w:r>
        <w:rPr>
          <w:rFonts w:hint="eastAsia"/>
        </w:rPr>
        <w:t>浏览器存储</w:t>
      </w:r>
      <w:r>
        <w:rPr>
          <w:rFonts w:hint="eastAsia"/>
          <w:lang w:eastAsia="zh-CN"/>
        </w:rPr>
        <w:t>：</w:t>
      </w:r>
      <w:r>
        <w:rPr>
          <w:rFonts w:hint="eastAsia"/>
        </w:rPr>
        <w:t>Web 应用利用本地存储缓存会话或设置</w:t>
      </w:r>
      <w:r>
        <w:rPr>
          <w:rFonts w:hint="eastAsia"/>
          <w:lang w:eastAsia="zh-CN"/>
        </w:rPr>
        <w:t>。</w:t>
      </w:r>
    </w:p>
    <w:p w14:paraId="1196F8E2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安全与运维保障体系（贯穿全栈）</w:t>
      </w:r>
    </w:p>
    <w:p w14:paraId="6B6D9849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安全性</w:t>
      </w:r>
      <w:r>
        <w:rPr>
          <w:rFonts w:hint="eastAsia"/>
          <w:lang w:eastAsia="zh-CN"/>
        </w:rPr>
        <w:t>：</w:t>
      </w:r>
      <w:r>
        <w:rPr>
          <w:rFonts w:hint="eastAsia"/>
        </w:rPr>
        <w:t>OAuth 多平台登录，避免密码明文存储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设备命令需用户确认后执行（防误操作）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E2EE 加密聊天（架构图提及，代码未展开）</w:t>
      </w:r>
    </w:p>
    <w:p w14:paraId="33DD0823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可观测性</w:t>
      </w:r>
      <w:r>
        <w:rPr>
          <w:rFonts w:hint="eastAsia"/>
          <w:lang w:eastAsia="zh-CN"/>
        </w:rPr>
        <w:t>：</w:t>
      </w:r>
      <w:r>
        <w:rPr>
          <w:rFonts w:hint="eastAsia"/>
        </w:rPr>
        <w:t>连接状态显示“最后更新时间”，判断数据新鲜度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控制台输出详细错误日志（如 “Chart parsing error”）</w:t>
      </w:r>
    </w:p>
    <w:p w14:paraId="437A367F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健壮性</w:t>
      </w:r>
      <w:r>
        <w:rPr>
          <w:rFonts w:hint="eastAsia"/>
          <w:lang w:eastAsia="zh-CN"/>
        </w:rPr>
        <w:t>：</w:t>
      </w:r>
      <w:r>
        <w:rPr>
          <w:rFonts w:hint="eastAsia"/>
        </w:rPr>
        <w:t>所有数据迁移、JSON 解析均包裹 try-catch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上下文不可用时，AI 助手仍可工作（仅缺失相关上下文）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旧数据导入失败不阻断系统启动</w:t>
      </w:r>
    </w:p>
    <w:p w14:paraId="42FF1267">
      <w:pPr>
        <w:pStyle w:val="3"/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用户测试反馈：</w:t>
      </w:r>
    </w:p>
    <w:p w14:paraId="778FD5E4"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全面评估测试版产品的用户体验表现，我们于2025年12月通过问卷星平台开展了线上用户调研。本次调研共回收有效问卷9份，聚焦于易用性、导航结构、视觉风格、功能价值、性能表现、系统稳定性、文字提示及整体满意度等核心维度，并通过开放性问题收集关键改进建议与Bug反馈。</w:t>
      </w:r>
    </w:p>
    <w:p w14:paraId="05E51EB0">
      <w:pPr>
        <w:pStyle w:val="4"/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系统性能卡顿</w:t>
      </w:r>
    </w:p>
    <w:p w14:paraId="0FAB2D9C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22.22%用户明确反馈“页面加载慢/操作卡顿”。</w:t>
      </w:r>
    </w:p>
    <w:p w14:paraId="686BA66B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开放题中多人提到：“系统有点卡，操作不流畅。”</w:t>
      </w:r>
    </w:p>
    <w:p w14:paraId="5A429ECB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影响：</w:t>
      </w:r>
    </w:p>
    <w:p w14:paraId="39B68B87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卡顿直接影响操作效率和使用意愿，即使功能完整、界面美观，也会让用户产生“不好用”的负面印象。</w:t>
      </w:r>
    </w:p>
    <w:p w14:paraId="2EF062CB">
      <w:pPr>
        <w:pStyle w:val="4"/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直播界面交互设计不合理</w:t>
      </w:r>
    </w:p>
    <w:p w14:paraId="0B8DC98D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用户指出：“直播界面不能滑动”“监测数据应比监控画面更突出”。</w:t>
      </w:r>
    </w:p>
    <w:p w14:paraId="46EE3929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影响：</w:t>
      </w:r>
    </w:p>
    <w:p w14:paraId="7A2267FC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核心功能（如健康/行为监测）的信息被弱化，用户无法快速获取关键数据，降低产品价值感知。</w:t>
      </w:r>
    </w:p>
    <w:p w14:paraId="0893E985">
      <w:pPr>
        <w:pStyle w:val="4"/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登录方式单一</w:t>
      </w:r>
    </w:p>
    <w:p w14:paraId="2989A23D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多位用户在开放题中提出：“登录方式太少”。</w:t>
      </w:r>
    </w:p>
    <w:p w14:paraId="7B9E30A0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影响：</w:t>
      </w:r>
    </w:p>
    <w:p w14:paraId="1430C912">
      <w:pPr>
        <w:bidi w:val="0"/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增加使用门槛，尤其对习惯第三方登录（如微信、手机号）的用户造成阻碍，可能导致流失。</w:t>
      </w:r>
    </w:p>
    <w:p w14:paraId="2BC6AD1B">
      <w:pPr>
        <w:pStyle w:val="4"/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新手引导不足 &amp; 提示语不够友好</w:t>
      </w:r>
    </w:p>
    <w:p w14:paraId="2E5BB667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仅55.56%用户认为“第一次使用就能上手”，33.33%持中立；</w:t>
      </w:r>
    </w:p>
    <w:p w14:paraId="5DF0D40F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22.22%对提示文字清晰度不满意。</w:t>
      </w:r>
    </w:p>
    <w:p w14:paraId="0993B8B2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影响：</w:t>
      </w:r>
    </w:p>
    <w:p w14:paraId="15C639F7">
      <w:pPr>
        <w:bidi w:val="0"/>
        <w:spacing w:line="240" w:lineRule="auto"/>
        <w:rPr>
          <w:rFonts w:hint="eastAsia"/>
        </w:rPr>
      </w:pPr>
      <w:r>
        <w:rPr>
          <w:rFonts w:hint="eastAsia"/>
          <w:lang w:val="en-US" w:eastAsia="zh-CN"/>
        </w:rPr>
        <w:t>用户学习成本上升，可能误操作或放弃探索高级功能。</w:t>
      </w:r>
    </w:p>
    <w:p w14:paraId="48568B03">
      <w:pPr>
        <w:pStyle w:val="2"/>
        <w:bidi w:val="0"/>
        <w:spacing w:line="240" w:lineRule="auto"/>
        <w:rPr>
          <w:rFonts w:hint="eastAsia"/>
        </w:rPr>
      </w:pPr>
      <w:bookmarkStart w:id="4" w:name="_Toc32632"/>
      <w:r>
        <w:t>4P 营销组合策略</w:t>
      </w:r>
      <w:bookmarkEnd w:id="4"/>
    </w:p>
    <w:p w14:paraId="12A6B15B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产品（Product）</w:t>
      </w:r>
    </w:p>
    <w:p w14:paraId="4CCFAABD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核心产品</w:t>
      </w:r>
    </w:p>
    <w:p w14:paraId="404BD6A6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Stravision 智能物联网种植平台，以 “感知 - 分析 - 控制” 闭环为核心，整合 ESP32-C3 硬件模块、AS7341 光谱传感器与 AI 光照策略引擎，实现土壤温湿度、空气温湿度、CO₂浓度、光照光谱等环境数据的实时采集与智能调控，精准解决草莓种植中光照不足、环境调控粗放、病害识别难等核心痛点。</w:t>
      </w:r>
    </w:p>
    <w:p w14:paraId="441D4ACC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标准化产品</w:t>
      </w:r>
    </w:p>
    <w:p w14:paraId="31FD6EE7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基础硬件套装：包含传感器、控制器、补光灯、风扇、水泵等标准化设备，适配 1-15 亩中小规模大棚；</w:t>
      </w:r>
    </w:p>
    <w:p w14:paraId="349A9B62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多端管理系统：Web 管理控制台、iOS/Android 移动端 App 标准版，提供数据监测、设备控制、基础 AI 咨询等核心功能。</w:t>
      </w:r>
    </w:p>
    <w:p w14:paraId="53A84B7C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增值产品</w:t>
      </w:r>
    </w:p>
    <w:p w14:paraId="7B9DB7A3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定制化方案：针对不同区域气候、土壤特性的专属系统参数优化服务；</w:t>
      </w:r>
    </w:p>
    <w:p w14:paraId="3B9C40A6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高级硬件升级：高精度光谱分析仪、智能雾化加湿设备、病虫害图像识别终端等；</w:t>
      </w:r>
    </w:p>
    <w:p w14:paraId="38E37307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数据增值服务：生长趋势预测、市场需求分析、产量品质溯源报告等。</w:t>
      </w:r>
    </w:p>
    <w:p w14:paraId="4E32FD16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衍生产品</w:t>
      </w:r>
    </w:p>
    <w:p w14:paraId="5A423771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标准化种植 SOP 手册：涵盖品种选择、肥料配比、疏花疏果等实操指南；</w:t>
      </w:r>
    </w:p>
    <w:p w14:paraId="7B85440C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技术培训课程：智能设备操作、系统维护、科学种植等线上线下课程；</w:t>
      </w:r>
    </w:p>
    <w:p w14:paraId="002BE833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周边配套产品：适配平台的专用灌溉管件、节能设备、大棚环境改造配件等。</w:t>
      </w:r>
    </w:p>
    <w:p w14:paraId="4DDBF2FF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价格（Price）</w:t>
      </w:r>
    </w:p>
    <w:p w14:paraId="5C258914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服务定价</w:t>
      </w:r>
    </w:p>
    <w:p w14:paraId="32440F72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系统部署与调试服务：按大棚面积收费，1-5 亩 </w:t>
      </w:r>
      <w:r>
        <w:rPr>
          <w:rFonts w:hint="eastAsia"/>
          <w:lang w:eastAsia="zh-CN"/>
        </w:rPr>
        <w:t>2000</w:t>
      </w:r>
      <w:r>
        <w:rPr>
          <w:rFonts w:hint="eastAsia"/>
          <w:lang w:val="en-US" w:eastAsia="zh-CN"/>
        </w:rPr>
        <w:t>-3</w:t>
      </w:r>
      <w:r>
        <w:rPr>
          <w:rFonts w:hint="eastAsia"/>
          <w:lang w:eastAsia="zh-CN"/>
        </w:rPr>
        <w:t>000</w:t>
      </w:r>
      <w:r>
        <w:rPr>
          <w:rFonts w:hint="eastAsia"/>
        </w:rPr>
        <w:t xml:space="preserve"> 元 / 棚，5-15 亩 </w:t>
      </w:r>
      <w:r>
        <w:rPr>
          <w:rFonts w:hint="eastAsia"/>
          <w:lang w:eastAsia="zh-CN"/>
        </w:rPr>
        <w:t>3000-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000</w:t>
      </w:r>
      <w:r>
        <w:rPr>
          <w:rFonts w:hint="eastAsia"/>
        </w:rPr>
        <w:t>元 / 棚；</w:t>
      </w:r>
    </w:p>
    <w:p w14:paraId="5C3F9487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年度运维服务：基础版 1200 元 / 年（含设备巡检、系统升级），高级版 3000 元 / 年（含 24 小时技术支持、故障上门维修）。</w:t>
      </w:r>
    </w:p>
    <w:p w14:paraId="7119FF15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产品定价</w:t>
      </w:r>
    </w:p>
    <w:p w14:paraId="17CD549C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基础硬件套装：1-5 亩配置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000-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000 元 / 套，5-15 亩配置 5000-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0000 元 / 套，多端管理系统：免费基础版 + 付费高级版（800 元 / 年 / 账号，解锁 AI 预测、数据导出等功能）。</w:t>
      </w:r>
    </w:p>
    <w:p w14:paraId="0BE17F53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增值服务</w:t>
      </w:r>
    </w:p>
    <w:p w14:paraId="10F3E0DC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定制化方案：5000-10000 元 / 单，根据优化复杂度定价；</w:t>
      </w:r>
    </w:p>
    <w:p w14:paraId="3B17EC3A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数据增值服务：1500-3000 元 / 年，按服务维度组合收费；</w:t>
      </w:r>
    </w:p>
    <w:p w14:paraId="20A09E79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技术培训课程：线上课程 299-599 元 / 人，线下实操培训 1200-2000 元 / 人。</w:t>
      </w:r>
    </w:p>
    <w:p w14:paraId="7572BB55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优惠策略</w:t>
      </w:r>
    </w:p>
    <w:p w14:paraId="585C014E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批量采购优惠：农业合作社或种植基地一次性采购 5 套以上硬件，享 8.5-9 折优惠；</w:t>
      </w:r>
    </w:p>
    <w:p w14:paraId="0AAE1744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政策补贴叠加：协助农户申请地方农业数字化补贴，补贴后实际支出降低 20%-40%；</w:t>
      </w:r>
    </w:p>
    <w:p w14:paraId="3A98419B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老客户福利：续费年度运维服务享 8 折优惠，推荐新客户成功签约可获免费服务升级或设备配件。</w:t>
      </w:r>
    </w:p>
    <w:p w14:paraId="1F9A0791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渠道（Place）</w:t>
      </w:r>
    </w:p>
    <w:p w14:paraId="09BB68DD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直销渠道</w:t>
      </w:r>
    </w:p>
    <w:p w14:paraId="6EC7875D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组建区域销售团队，聚焦</w:t>
      </w:r>
      <w:r>
        <w:rPr>
          <w:rFonts w:hint="eastAsia"/>
          <w:lang w:eastAsia="zh-CN"/>
        </w:rPr>
        <w:t>江浙</w:t>
      </w:r>
      <w:r>
        <w:rPr>
          <w:rFonts w:hint="eastAsia"/>
        </w:rPr>
        <w:t>、长三角等草莓主产区，直接对接中小种植户、家庭农场；</w:t>
      </w:r>
    </w:p>
    <w:p w14:paraId="5DFF415C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设立线下体验中心，提供设备展示、系统演示、实操培训等一站式服务。</w:t>
      </w:r>
    </w:p>
    <w:p w14:paraId="356F9D8D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分销渠道</w:t>
      </w:r>
    </w:p>
    <w:p w14:paraId="139E7118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招募区域经销商：在全国草莓主产区发展 20-30 家县级经销商，负责当地市场推广、产品销售与基础服务；</w:t>
      </w:r>
    </w:p>
    <w:p w14:paraId="3F473EF1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授权农资门店合作：筛选优质农资连锁店作为销售网点，提供产品陈列与咨询服务，按销量给予佣金。</w:t>
      </w:r>
    </w:p>
    <w:p w14:paraId="536CEDEA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合作渠道</w:t>
      </w:r>
    </w:p>
    <w:p w14:paraId="76D74155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校企合作：与农业院校、科研机构合作，将平台纳入教学实训设备采购目录，共建示范基地；</w:t>
      </w:r>
    </w:p>
    <w:p w14:paraId="54EF5ADC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政企合作：对接地方农业农村局、供销社，参与智慧农业项目招投标，依托政策推广产品；</w:t>
      </w:r>
    </w:p>
    <w:p w14:paraId="250D3991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产业链合作：与草莓苗供应商、农药化肥企业、农产品收购商联动，打包推广种植解决方案。</w:t>
      </w:r>
    </w:p>
    <w:p w14:paraId="0EEE2455">
      <w:pPr>
        <w:pStyle w:val="4"/>
        <w:bidi w:val="0"/>
        <w:spacing w:line="240" w:lineRule="auto"/>
        <w:rPr>
          <w:rFonts w:hint="eastAsia"/>
        </w:rPr>
      </w:pPr>
      <w:r>
        <w:rPr>
          <w:rFonts w:hint="eastAsia"/>
        </w:rPr>
        <w:t>线上渠道</w:t>
      </w:r>
    </w:p>
    <w:p w14:paraId="02E3F799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官方电商平台：在淘宝、京东开设品牌旗舰店，销售标准化硬件套装与线上课程；</w:t>
      </w:r>
    </w:p>
    <w:p w14:paraId="15B67FE7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新媒体渠道：通过抖音、视频号、小红书发布产品演示、种植案例，引流至私域成交；</w:t>
      </w:r>
    </w:p>
    <w:p w14:paraId="225B120E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行业平台入驻：加入智慧农业服务平台、农业电商园区，获取精准客户资源。</w:t>
      </w:r>
    </w:p>
    <w:p w14:paraId="66E67509">
      <w:pPr>
        <w:pStyle w:val="2"/>
        <w:bidi w:val="0"/>
        <w:spacing w:line="240" w:lineRule="auto"/>
        <w:rPr>
          <w:rFonts w:hint="eastAsia"/>
        </w:rPr>
      </w:pPr>
      <w:r>
        <w:rPr>
          <w:rFonts w:hint="eastAsia"/>
        </w:rPr>
        <w:t xml:space="preserve"> </w:t>
      </w:r>
      <w:bookmarkStart w:id="5" w:name="_Toc9049"/>
      <w:r>
        <w:rPr>
          <w:rFonts w:hint="eastAsia"/>
        </w:rPr>
        <w:t>商业模式</w:t>
      </w:r>
      <w:bookmarkEnd w:id="5"/>
    </w:p>
    <w:p w14:paraId="2CA23493">
      <w:pPr>
        <w:bidi w:val="0"/>
        <w:rPr>
          <w:rFonts w:hint="eastAsia"/>
        </w:rPr>
      </w:pPr>
      <w:r>
        <w:rPr>
          <w:rFonts w:hint="eastAsia"/>
        </w:rPr>
        <w:t>核心业务</w:t>
      </w:r>
      <w:r>
        <w:rPr>
          <w:rFonts w:hint="eastAsia"/>
          <w:lang w:eastAsia="zh-CN"/>
        </w:rPr>
        <w:t>：</w:t>
      </w:r>
      <w:r>
        <w:rPr>
          <w:rFonts w:hint="eastAsia"/>
        </w:rPr>
        <w:t>以智能物联网硬件销售 + 种植管理系统服务为核心，为草莓种植户提供 “硬件 + 软件 + 技术支持” 一体化解决方案，通过设备销售与年度运维服务实现基础营收。</w:t>
      </w:r>
    </w:p>
    <w:p w14:paraId="69D0C90A">
      <w:pPr>
        <w:bidi w:val="0"/>
        <w:rPr>
          <w:rFonts w:hint="eastAsia"/>
        </w:rPr>
      </w:pPr>
      <w:r>
        <w:rPr>
          <w:rFonts w:hint="eastAsia"/>
        </w:rPr>
        <w:t>增值业务</w:t>
      </w:r>
      <w:r>
        <w:rPr>
          <w:rFonts w:hint="eastAsia"/>
          <w:lang w:eastAsia="zh-CN"/>
        </w:rPr>
        <w:t>：</w:t>
      </w:r>
      <w:r>
        <w:rPr>
          <w:rFonts w:hint="eastAsia"/>
        </w:rPr>
        <w:t>聚焦定制化方案设计、数据增值服务、技术培训等，针对不同客户需求提供差异化服务，提升单客价值。</w:t>
      </w:r>
    </w:p>
    <w:p w14:paraId="67BFA009">
      <w:pPr>
        <w:bidi w:val="0"/>
        <w:rPr>
          <w:rFonts w:hint="eastAsia"/>
        </w:rPr>
      </w:pPr>
      <w:r>
        <w:rPr>
          <w:rFonts w:hint="eastAsia"/>
        </w:rPr>
        <w:t>衍生业务</w:t>
      </w:r>
      <w:r>
        <w:rPr>
          <w:rFonts w:hint="eastAsia"/>
          <w:lang w:eastAsia="zh-CN"/>
        </w:rPr>
        <w:t>：</w:t>
      </w:r>
      <w:r>
        <w:rPr>
          <w:rFonts w:hint="eastAsia"/>
        </w:rPr>
        <w:t>延伸至草莓产业链上下游，通过销售种植配套产品、搭建产销对接渠道、输出行业标准等，构建多元化营收体系。</w:t>
      </w:r>
    </w:p>
    <w:p w14:paraId="54E7C82E">
      <w:pPr>
        <w:bidi w:val="0"/>
        <w:rPr>
          <w:rFonts w:hint="eastAsia"/>
          <w:lang w:eastAsia="zh-CN"/>
        </w:rPr>
      </w:pPr>
      <w:r>
        <w:rPr>
          <w:rFonts w:hint="eastAsia"/>
        </w:rPr>
        <w:t>盈利模式</w:t>
      </w:r>
      <w:r>
        <w:rPr>
          <w:rFonts w:hint="eastAsia"/>
          <w:lang w:eastAsia="zh-CN"/>
        </w:rPr>
        <w:t>：</w:t>
      </w:r>
    </w:p>
    <w:p w14:paraId="5FE70200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短期：硬件销售利润（毛利率 30%-40%）、服务收费（部署、运维、培训）；</w:t>
      </w:r>
    </w:p>
    <w:p w14:paraId="07DFC5D8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中期：数据增值服务收入、定制化方案服务费；</w:t>
      </w:r>
    </w:p>
    <w:p w14:paraId="192478A6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长期：品牌授权费、产业链合作分成、行业标准输出收益。</w:t>
      </w:r>
    </w:p>
    <w:p w14:paraId="03A02F11">
      <w:pPr>
        <w:pStyle w:val="2"/>
        <w:bidi w:val="0"/>
        <w:spacing w:line="240" w:lineRule="auto"/>
        <w:rPr>
          <w:rFonts w:hint="eastAsia"/>
        </w:rPr>
      </w:pPr>
      <w:bookmarkStart w:id="6" w:name="_Toc30363"/>
      <w:r>
        <w:rPr>
          <w:rFonts w:hint="eastAsia"/>
        </w:rPr>
        <w:t>财务规划</w:t>
      </w:r>
      <w:bookmarkEnd w:id="6"/>
    </w:p>
    <w:p w14:paraId="79371816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成本结构</w:t>
      </w:r>
    </w:p>
    <w:p w14:paraId="24A5486B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研发成本：占营收 15%-20%，涵盖硬件迭代、软件升级、AI 模型优化；</w:t>
      </w:r>
    </w:p>
    <w:p w14:paraId="061A1876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生产成本：占硬件售价 40%-50%，包括元器件采购、生产组装、质量检测；</w:t>
      </w:r>
    </w:p>
    <w:p w14:paraId="2A8A590C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运营成本：占营收 10%-15%，含人员薪酬、办公开支、系统服务器费用；</w:t>
      </w:r>
    </w:p>
    <w:p w14:paraId="3907EA58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营销成本：占营收 20%-25%，涵盖渠道建设、广告推广、活动执行。</w:t>
      </w:r>
    </w:p>
    <w:p w14:paraId="3F6E6E8A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收入结构演变</w:t>
      </w:r>
    </w:p>
    <w:p w14:paraId="4CFAD66B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2026-2027 年（产品驱动）：硬件销售占比 70%，服务收入占比 30%；</w:t>
      </w:r>
    </w:p>
    <w:p w14:paraId="7F2C6F43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2028-2029 年（服务驱动）：硬件销售占比 50%，服务与增值业务占比 50%；</w:t>
      </w:r>
    </w:p>
    <w:p w14:paraId="1CCEBFFB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2030 年（数据 + 品牌驱动）：硬件销售占比 30%，数据服务与品牌相关收入占比 70%。</w:t>
      </w:r>
    </w:p>
    <w:p w14:paraId="5B146476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五年财务预测（2026-2030）</w:t>
      </w:r>
    </w:p>
    <w:p w14:paraId="1C73DB0B">
      <w:pPr>
        <w:pStyle w:val="12"/>
        <w:rPr>
          <w:rFonts w:hint="eastAsia"/>
        </w:rPr>
      </w:pPr>
      <w:r>
        <w:t xml:space="preserve">表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7.3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五年财务预测</w:t>
      </w:r>
    </w:p>
    <w:tbl>
      <w:tblPr>
        <w:tblStyle w:val="27"/>
        <w:tblW w:w="8523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1815"/>
        <w:gridCol w:w="1830"/>
        <w:gridCol w:w="1659"/>
        <w:gridCol w:w="952"/>
        <w:gridCol w:w="1425"/>
      </w:tblGrid>
      <w:tr w14:paraId="1E3BFB0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4B61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年份</w:t>
            </w: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3D48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覆盖面积（万亩）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7535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营业收入（万元）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5B5F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净利润（万元）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6E04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净利率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63E4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研发投入占比</w:t>
            </w:r>
          </w:p>
        </w:tc>
      </w:tr>
      <w:tr w14:paraId="7AC304E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7B24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2026</w:t>
            </w: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B6B7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1.5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409E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3000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9610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600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D325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20%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56FE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20%</w:t>
            </w:r>
          </w:p>
        </w:tc>
      </w:tr>
      <w:tr w14:paraId="11CEF4D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AF3A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2027</w:t>
            </w: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E96C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03C9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8000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9C824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1840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8DF1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23%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299F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18%</w:t>
            </w:r>
          </w:p>
        </w:tc>
      </w:tr>
      <w:tr w14:paraId="4A0A0DB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F87A3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2028</w:t>
            </w: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6B9F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8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C205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18000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0A9A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4500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2501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25%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8A76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16%</w:t>
            </w:r>
          </w:p>
        </w:tc>
      </w:tr>
      <w:tr w14:paraId="02FB123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53B9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2029</w:t>
            </w: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6C45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15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3546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35000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A417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9100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EA6A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26%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CA59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15%</w:t>
            </w:r>
          </w:p>
        </w:tc>
      </w:tr>
      <w:tr w14:paraId="6F838B1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AEF0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2030</w:t>
            </w: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1B5B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25</w:t>
            </w:r>
          </w:p>
        </w:tc>
        <w:tc>
          <w:tcPr>
            <w:tcW w:w="1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FEFE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60000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9918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16200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3A38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27%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04FE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15%</w:t>
            </w:r>
          </w:p>
        </w:tc>
      </w:tr>
    </w:tbl>
    <w:p w14:paraId="27498848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盈亏平衡点分析</w:t>
      </w:r>
    </w:p>
    <w:p w14:paraId="07691749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预计 2027 年实现盈亏平衡，届时累计覆盖面积 4 万亩，营业收入 8000 万元，累计投入回收完毕，后续规模效应持续凸显，净利率稳步提升。</w:t>
      </w:r>
    </w:p>
    <w:p w14:paraId="3B10F794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融资需求与资金使用计划</w:t>
      </w:r>
    </w:p>
    <w:p w14:paraId="43F2CC8D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融资需求：总需求 5000 万元，分两轮融资；</w:t>
      </w:r>
    </w:p>
    <w:p w14:paraId="0BCA1AFA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资金用途：研发投入 1500 万元（硬件迭代、软件优化），生产与供应链建设 2000 万元，市场推广 1000 万元，运营储备 500 万元。</w:t>
      </w:r>
    </w:p>
    <w:p w14:paraId="6D4B69C0">
      <w:pPr>
        <w:pStyle w:val="2"/>
        <w:bidi w:val="0"/>
        <w:spacing w:line="240" w:lineRule="auto"/>
        <w:rPr>
          <w:rFonts w:hint="eastAsia"/>
        </w:rPr>
      </w:pPr>
      <w:bookmarkStart w:id="7" w:name="_Toc3801"/>
      <w:r>
        <w:rPr>
          <w:rFonts w:hint="eastAsia"/>
        </w:rPr>
        <w:t>实施计划（三步走战略）</w:t>
      </w:r>
      <w:bookmarkEnd w:id="7"/>
    </w:p>
    <w:p w14:paraId="6E70F9C8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第一阶段（2025-2026）：深耕</w:t>
      </w:r>
      <w:r>
        <w:rPr>
          <w:rFonts w:hint="eastAsia"/>
          <w:lang w:eastAsia="zh-CN"/>
        </w:rPr>
        <w:t>江浙</w:t>
      </w:r>
      <w:r>
        <w:rPr>
          <w:rFonts w:hint="eastAsia"/>
        </w:rPr>
        <w:t>，打造样板</w:t>
      </w:r>
    </w:p>
    <w:p w14:paraId="150925EC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核心目标：验证技术模型，建立行业标准，实现 1.5 万亩种植面积覆盖；</w:t>
      </w:r>
    </w:p>
    <w:p w14:paraId="6C14F5F4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第二阶段（2027-2028）：北上南下，全域复制</w:t>
      </w:r>
    </w:p>
    <w:p w14:paraId="773EA3E6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核心目标：跨区域扩张，形成规模效应，覆盖 8 万亩种植面积；</w:t>
      </w:r>
    </w:p>
    <w:p w14:paraId="7E1DC424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第三阶段（2029-2030）：一带一路，技术出海</w:t>
      </w:r>
    </w:p>
    <w:p w14:paraId="08FF8E4F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核心目标：输出行业标准，实现全球布局，覆盖 25 万亩种植面积；</w:t>
      </w:r>
    </w:p>
    <w:p w14:paraId="60365F1E">
      <w:pPr>
        <w:pStyle w:val="2"/>
        <w:bidi w:val="0"/>
        <w:spacing w:line="240" w:lineRule="auto"/>
        <w:rPr>
          <w:rFonts w:hint="eastAsia"/>
        </w:rPr>
      </w:pPr>
      <w:bookmarkStart w:id="8" w:name="_Toc25601"/>
      <w:r>
        <w:rPr>
          <w:rFonts w:hint="eastAsia"/>
        </w:rPr>
        <w:t>风险评估与应对策略</w:t>
      </w:r>
      <w:bookmarkEnd w:id="8"/>
    </w:p>
    <w:p w14:paraId="496CE9C6">
      <w:pPr>
        <w:pStyle w:val="12"/>
        <w:rPr>
          <w:rFonts w:hint="eastAsia" w:eastAsia="微软雅黑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7.4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风险评估与应对策略</w:t>
      </w:r>
    </w:p>
    <w:tbl>
      <w:tblPr>
        <w:tblStyle w:val="27"/>
        <w:tblW w:w="8522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2"/>
        <w:gridCol w:w="2315"/>
        <w:gridCol w:w="4835"/>
      </w:tblGrid>
      <w:tr w14:paraId="46B4CED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059C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风险类型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7429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具体风险</w:t>
            </w:r>
          </w:p>
        </w:tc>
        <w:tc>
          <w:tcPr>
            <w:tcW w:w="4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43DB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应对策略</w:t>
            </w:r>
          </w:p>
        </w:tc>
      </w:tr>
      <w:tr w14:paraId="22386B0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A29F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市场风险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3FC7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农户认知不足、教育成本高</w:t>
            </w:r>
          </w:p>
        </w:tc>
        <w:tc>
          <w:tcPr>
            <w:tcW w:w="4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4468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加大示范基地建设，开展免费试用活动，联合政府开展技术培训，降低接受门槛</w:t>
            </w:r>
          </w:p>
        </w:tc>
      </w:tr>
      <w:tr w14:paraId="6A27F21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2720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技术风险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ECAE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区域适配不足、技术迭代替代</w:t>
            </w:r>
          </w:p>
        </w:tc>
        <w:tc>
          <w:tcPr>
            <w:tcW w:w="4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1D6D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建立区域化研发团队，持续投入研发（占营收 15% 以上），保持技术领先性</w:t>
            </w:r>
          </w:p>
        </w:tc>
      </w:tr>
      <w:tr w14:paraId="0342982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B65D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竞争风险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6E71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传统企业转型、同类产品竞争加剧</w:t>
            </w:r>
          </w:p>
        </w:tc>
        <w:tc>
          <w:tcPr>
            <w:tcW w:w="4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83B2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强化技术壁垒与成本优势，深耕产业链服务，构建品牌差异化竞争力</w:t>
            </w:r>
          </w:p>
        </w:tc>
      </w:tr>
      <w:tr w14:paraId="245DFB7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829A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政策风险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EE0B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监管政策收紧、补贴政策调整</w:t>
            </w:r>
          </w:p>
        </w:tc>
        <w:tc>
          <w:tcPr>
            <w:tcW w:w="4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E913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密切关注政策动态，合规经营，多元化营收结构，降低对政策补贴的依赖</w:t>
            </w:r>
          </w:p>
        </w:tc>
      </w:tr>
      <w:tr w14:paraId="7AA02CD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DF43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运营风险</w:t>
            </w:r>
          </w:p>
        </w:tc>
        <w:tc>
          <w:tcPr>
            <w:tcW w:w="2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BEA7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设备故障、服务覆盖不足</w:t>
            </w:r>
          </w:p>
        </w:tc>
        <w:tc>
          <w:tcPr>
            <w:tcW w:w="4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22C1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snapToGrid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完善运维服务体系，建立区域服务网点，优化产品稳定性，提供远程故障排查支持</w:t>
            </w:r>
          </w:p>
        </w:tc>
      </w:tr>
    </w:tbl>
    <w:p w14:paraId="3F38AC6D">
      <w:pPr>
        <w:pStyle w:val="2"/>
        <w:bidi w:val="0"/>
        <w:spacing w:line="240" w:lineRule="auto"/>
        <w:rPr>
          <w:rFonts w:hint="eastAsia"/>
        </w:rPr>
      </w:pPr>
      <w:bookmarkStart w:id="9" w:name="_Toc20241"/>
      <w:r>
        <w:rPr>
          <w:rFonts w:hint="eastAsia"/>
        </w:rPr>
        <w:t>社会价值</w:t>
      </w:r>
      <w:bookmarkEnd w:id="9"/>
    </w:p>
    <w:p w14:paraId="1D391E36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助农增收：通过精准种植实现草莓增产 10%-20%，节本 20% 以上，带动农户户均年增收 1.2 万元 +；</w:t>
      </w:r>
    </w:p>
    <w:p w14:paraId="4AB3BCA4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生态环保：减少农药与水资源浪费，修复农田生态，推动绿色农业转型；</w:t>
      </w:r>
    </w:p>
    <w:p w14:paraId="2B4E21A3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双创育人：培养 “新农人” 技术人才，提供就业与创业机会，助力乡村振兴；</w:t>
      </w:r>
    </w:p>
    <w:p w14:paraId="2AB0EBB2">
      <w:pPr>
        <w:bidi w:val="0"/>
        <w:spacing w:line="240" w:lineRule="auto"/>
        <w:rPr>
          <w:rFonts w:hint="eastAsia"/>
        </w:rPr>
      </w:pPr>
      <w:r>
        <w:rPr>
          <w:rFonts w:hint="eastAsia"/>
        </w:rPr>
        <w:t>行业赋能：制定智慧草莓种植标准，推动农业数字化、标准化发展，提升行业整体竞争力。</w:t>
      </w:r>
      <w:r>
        <w:t>值</w:t>
      </w:r>
    </w:p>
    <w:p w14:paraId="3914307F">
      <w:pPr>
        <w:pStyle w:val="2"/>
        <w:bidi w:val="0"/>
        <w:spacing w:line="240" w:lineRule="auto"/>
        <w:rPr>
          <w:rFonts w:hint="eastAsia"/>
        </w:rPr>
      </w:pPr>
      <w:bookmarkStart w:id="10" w:name="_Toc16830"/>
      <w:r>
        <w:t>团队</w:t>
      </w:r>
      <w:r>
        <w:rPr>
          <w:rFonts w:hint="eastAsia"/>
          <w:lang w:val="en-US" w:eastAsia="zh-CN"/>
        </w:rPr>
        <w:t>优势</w:t>
      </w:r>
      <w:bookmarkEnd w:id="10"/>
    </w:p>
    <w:p w14:paraId="33E46958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核心优势</w:t>
      </w:r>
    </w:p>
    <w:p w14:paraId="73007E70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技术闭环优势：打造的 Stravision 平台融合 AI 智能体与物联网技术，构建 “感知 - 分析 - 决策 - 执行” 数字化闭环，具备数据智能分析、设备协同调控等核心能力，适配多场景需求。</w:t>
      </w:r>
    </w:p>
    <w:p w14:paraId="5981A304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校企协同优势：已与湖州市迁奕软件科技、宁波中易电子科技等企业达成合作意向，聚焦平台应用、技术优化、示范基地建设等方向，实现产学研高效联动。</w:t>
      </w:r>
    </w:p>
    <w:p w14:paraId="2D718D06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技术实用优势：平台采用平台化架构设计，支持多大棚集中管理，数据驱动决策精准，可灵活扩展传感器与设备，适配生产、教学、科研等多元场景。</w:t>
      </w:r>
    </w:p>
    <w:p w14:paraId="53555CD9">
      <w:pPr>
        <w:pStyle w:val="3"/>
        <w:bidi w:val="0"/>
        <w:spacing w:line="240" w:lineRule="auto"/>
        <w:rPr>
          <w:rFonts w:hint="eastAsia"/>
        </w:rPr>
      </w:pPr>
      <w:r>
        <w:rPr>
          <w:rFonts w:hint="eastAsia"/>
        </w:rPr>
        <w:t>科研成果</w:t>
      </w:r>
    </w:p>
    <w:p w14:paraId="1B852299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软件著作权：“草莓农场 AI 管理系统 V1.3”“基于 Node-RED 的草莓智慧种植监控系统 V1.0” 均获中国版权保护中心著作权登记受理，技术成果标准化落地。</w:t>
      </w:r>
    </w:p>
    <w:p w14:paraId="15FEB71F">
      <w:pPr>
        <w:pStyle w:val="7"/>
        <w:spacing w:line="240" w:lineRule="auto"/>
        <w:rPr>
          <w:rFonts w:hint="eastAsia"/>
        </w:rPr>
      </w:pPr>
      <w:r>
        <w:rPr>
          <w:rFonts w:hint="eastAsia"/>
        </w:rPr>
        <w:t>核心平台：自主研发 Stravision 智慧农业管理平台，实现无人值守或低值守大棚管理，推动农业生产从 “人工看管” 向 “系统自运行” 转型。</w:t>
      </w:r>
    </w:p>
    <w:p w14:paraId="79A1E37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团队实践</w:t>
      </w:r>
    </w:p>
    <w:p w14:paraId="4CC1CE9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在宁波城市职业技术学院，</w:t>
      </w:r>
      <w:r>
        <w:rPr>
          <w:rFonts w:hint="eastAsia"/>
          <w:lang w:val="en-US" w:eastAsia="zh-CN"/>
        </w:rPr>
        <w:t>stravison莓界</w:t>
      </w:r>
      <w:r>
        <w:rPr>
          <w:rFonts w:hint="default"/>
          <w:lang w:val="en-US" w:eastAsia="zh-CN"/>
        </w:rPr>
        <w:t>团队利用物联网和数据分析技术进行数字化草莓种植试点，成功将首批30斤“科技草莓”销售一空，实现了产教融合的初步成效。</w:t>
      </w:r>
    </w:p>
    <w:p w14:paraId="1B9E5379">
      <w:pPr>
        <w:pStyle w:val="1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18865" cy="2713355"/>
            <wp:effectExtent l="0" t="0" r="8255" b="14605"/>
            <wp:docPr id="18" name="图片 18" descr="d4318869f1e70225cdd91f3e5cbfd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4318869f1e70225cdd91f3e5cbfd60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A05A">
      <w:pPr>
        <w:pStyle w:val="12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t>11.3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2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草莓义卖活动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02B57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5AEED9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5AEED9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2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A510E"/>
    <w:multiLevelType w:val="singleLevel"/>
    <w:tmpl w:val="049A51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0179E"/>
    <w:rsid w:val="003F5DF5"/>
    <w:rsid w:val="0199142D"/>
    <w:rsid w:val="02285819"/>
    <w:rsid w:val="02AE4196"/>
    <w:rsid w:val="02B81FC4"/>
    <w:rsid w:val="02DF3514"/>
    <w:rsid w:val="03402A63"/>
    <w:rsid w:val="03B6017D"/>
    <w:rsid w:val="05603D62"/>
    <w:rsid w:val="05654966"/>
    <w:rsid w:val="07577FFE"/>
    <w:rsid w:val="07653CA6"/>
    <w:rsid w:val="0A1C6BA3"/>
    <w:rsid w:val="0A9F38F9"/>
    <w:rsid w:val="0AF83422"/>
    <w:rsid w:val="0B7F1C77"/>
    <w:rsid w:val="0C407DE8"/>
    <w:rsid w:val="0DD55AD2"/>
    <w:rsid w:val="0F2C6214"/>
    <w:rsid w:val="10A51DDA"/>
    <w:rsid w:val="10B410DD"/>
    <w:rsid w:val="13175F1A"/>
    <w:rsid w:val="1602497C"/>
    <w:rsid w:val="165F2A2B"/>
    <w:rsid w:val="16785E60"/>
    <w:rsid w:val="17282527"/>
    <w:rsid w:val="1766523D"/>
    <w:rsid w:val="1A0C35CC"/>
    <w:rsid w:val="1B3F1E98"/>
    <w:rsid w:val="1CA0179E"/>
    <w:rsid w:val="201D1844"/>
    <w:rsid w:val="2178732C"/>
    <w:rsid w:val="22766CA1"/>
    <w:rsid w:val="22AB3ABF"/>
    <w:rsid w:val="234550B7"/>
    <w:rsid w:val="237A3848"/>
    <w:rsid w:val="23C35C20"/>
    <w:rsid w:val="254969BC"/>
    <w:rsid w:val="291F50AF"/>
    <w:rsid w:val="2C4719E5"/>
    <w:rsid w:val="2D033AAD"/>
    <w:rsid w:val="2DEF7B6A"/>
    <w:rsid w:val="2F984477"/>
    <w:rsid w:val="35923A74"/>
    <w:rsid w:val="3647376A"/>
    <w:rsid w:val="36486BE0"/>
    <w:rsid w:val="36D026DB"/>
    <w:rsid w:val="38B23662"/>
    <w:rsid w:val="3AA20FB4"/>
    <w:rsid w:val="3C230512"/>
    <w:rsid w:val="3C7A5184"/>
    <w:rsid w:val="3C8F4469"/>
    <w:rsid w:val="3DCE4DD0"/>
    <w:rsid w:val="3F407652"/>
    <w:rsid w:val="40422291"/>
    <w:rsid w:val="40595BA0"/>
    <w:rsid w:val="40AE4E9A"/>
    <w:rsid w:val="40E515C4"/>
    <w:rsid w:val="40EB4400"/>
    <w:rsid w:val="414C1C7A"/>
    <w:rsid w:val="41A63871"/>
    <w:rsid w:val="41A666D4"/>
    <w:rsid w:val="44B21CE6"/>
    <w:rsid w:val="45C3200C"/>
    <w:rsid w:val="45FF1C64"/>
    <w:rsid w:val="46384C85"/>
    <w:rsid w:val="4B071F90"/>
    <w:rsid w:val="4B8F532F"/>
    <w:rsid w:val="4CAC1104"/>
    <w:rsid w:val="51241F2C"/>
    <w:rsid w:val="514F1402"/>
    <w:rsid w:val="51B227FA"/>
    <w:rsid w:val="562260D0"/>
    <w:rsid w:val="58A572C3"/>
    <w:rsid w:val="592E3352"/>
    <w:rsid w:val="5A7F7B1F"/>
    <w:rsid w:val="5A987B62"/>
    <w:rsid w:val="5BAA6E73"/>
    <w:rsid w:val="5D3430F6"/>
    <w:rsid w:val="5EA558D6"/>
    <w:rsid w:val="5FC07E46"/>
    <w:rsid w:val="602B4A56"/>
    <w:rsid w:val="61651E6B"/>
    <w:rsid w:val="61B8623F"/>
    <w:rsid w:val="66074B20"/>
    <w:rsid w:val="68776D2D"/>
    <w:rsid w:val="6AFE019A"/>
    <w:rsid w:val="6D367A39"/>
    <w:rsid w:val="6F56450C"/>
    <w:rsid w:val="6F9455FA"/>
    <w:rsid w:val="71DD652B"/>
    <w:rsid w:val="768D0527"/>
    <w:rsid w:val="78993069"/>
    <w:rsid w:val="7A091FC6"/>
    <w:rsid w:val="7A7B08FF"/>
    <w:rsid w:val="7B2F54B5"/>
    <w:rsid w:val="7C07400A"/>
    <w:rsid w:val="7D0D5AB6"/>
    <w:rsid w:val="7DA539A6"/>
    <w:rsid w:val="7DEE0627"/>
    <w:rsid w:val="7E8E5B54"/>
    <w:rsid w:val="7F3C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afterAutospacing="0" w:line="288" w:lineRule="auto"/>
      <w:ind w:firstLine="420" w:firstLineChars="200"/>
      <w:jc w:val="left"/>
    </w:pPr>
    <w:rPr>
      <w:rFonts w:ascii="微软雅黑" w:hAnsi="微软雅黑" w:eastAsia="微软雅黑" w:cstheme="minorBidi"/>
      <w:snapToGrid/>
      <w:kern w:val="2"/>
      <w:sz w:val="21"/>
      <w:szCs w:val="21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bidi w:val="0"/>
      <w:adjustRightInd w:val="0"/>
      <w:snapToGrid w:val="0"/>
      <w:spacing w:before="100" w:beforeLines="100" w:after="20" w:afterLines="20" w:line="288" w:lineRule="auto"/>
      <w:ind w:left="0" w:leftChars="0" w:firstLine="0" w:firstLineChars="0"/>
      <w:outlineLvl w:val="0"/>
    </w:pPr>
    <w:rPr>
      <w:rFonts w:ascii="微软雅黑" w:hAnsi="微软雅黑" w:eastAsia="黑体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0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28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黑体" w:cstheme="minorBidi"/>
      <w:b/>
      <w:bCs/>
      <w:sz w:val="24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  <w:jc w:val="center"/>
    </w:pPr>
    <w:rPr>
      <w:rFonts w:cs="Times New Roman"/>
      <w:b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toc 1"/>
    <w:basedOn w:val="1"/>
    <w:next w:val="1"/>
    <w:qFormat/>
    <w:uiPriority w:val="0"/>
  </w:style>
  <w:style w:type="paragraph" w:styleId="22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3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4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5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6">
    <w:name w:val="annotation subject"/>
    <w:basedOn w:val="13"/>
    <w:next w:val="13"/>
    <w:qFormat/>
    <w:uiPriority w:val="0"/>
    <w:rPr>
      <w:b/>
      <w:bCs/>
    </w:r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37">
    <w:name w:val="文档说明标题"/>
    <w:basedOn w:val="1"/>
    <w:next w:val="1"/>
    <w:qFormat/>
    <w:uiPriority w:val="0"/>
    <w:pPr>
      <w:spacing w:after="100" w:afterLines="100" w:line="240" w:lineRule="auto"/>
      <w:ind w:firstLine="0" w:firstLineChars="0"/>
      <w:jc w:val="center"/>
      <w:outlineLvl w:val="9"/>
    </w:pPr>
    <w:rPr>
      <w:rFonts w:ascii="微软雅黑" w:hAnsi="微软雅黑"/>
      <w:b/>
      <w:bCs/>
      <w:sz w:val="48"/>
      <w:szCs w:val="48"/>
      <w:lang w:eastAsia="zh-Hans"/>
    </w:rPr>
  </w:style>
  <w:style w:type="paragraph" w:customStyle="1" w:styleId="38">
    <w:name w:val="附录标题"/>
    <w:next w:val="7"/>
    <w:qFormat/>
    <w:uiPriority w:val="0"/>
    <w:pPr>
      <w:tabs>
        <w:tab w:val="left" w:pos="0"/>
      </w:tabs>
      <w:bidi w:val="0"/>
      <w:adjustRightInd w:val="0"/>
      <w:snapToGrid w:val="0"/>
      <w:spacing w:after="100" w:afterLines="100" w:line="240" w:lineRule="auto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39">
    <w:name w:val="章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44"/>
      <w:szCs w:val="44"/>
    </w:rPr>
  </w:style>
  <w:style w:type="paragraph" w:customStyle="1" w:styleId="40">
    <w:name w:val="节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36"/>
      <w:szCs w:val="36"/>
    </w:rPr>
  </w:style>
  <w:style w:type="character" w:customStyle="1" w:styleId="41">
    <w:name w:val="摘要"/>
    <w:basedOn w:val="28"/>
    <w:qFormat/>
    <w:uiPriority w:val="0"/>
    <w:rPr>
      <w:rFonts w:hint="eastAsia" w:ascii="Arial" w:hAnsi="Arial"/>
      <w:b/>
      <w:lang w:val="en-US" w:eastAsia="zh-CN"/>
    </w:rPr>
  </w:style>
  <w:style w:type="character" w:customStyle="1" w:styleId="42">
    <w:name w:val="关键词"/>
    <w:basedOn w:val="28"/>
    <w:qFormat/>
    <w:uiPriority w:val="0"/>
    <w:rPr>
      <w:rFonts w:hint="eastAsia" w:ascii="Arial" w:hAnsi="Arial"/>
      <w:b/>
      <w:lang w:val="en-US" w:eastAsia="zh-CN"/>
    </w:rPr>
  </w:style>
  <w:style w:type="paragraph" w:customStyle="1" w:styleId="43">
    <w:name w:val="题注1"/>
    <w:basedOn w:val="1"/>
    <w:qFormat/>
    <w:uiPriority w:val="0"/>
    <w:pPr>
      <w:jc w:val="center"/>
    </w:pPr>
    <w:rPr>
      <w:rFonts w:hint="eastAsia" w:ascii="微软雅黑" w:hAnsi="微软雅黑"/>
      <w:sz w:val="20"/>
      <w:szCs w:val="20"/>
    </w:rPr>
  </w:style>
  <w:style w:type="paragraph" w:customStyle="1" w:styleId="44">
    <w:name w:val="主送对象"/>
    <w:next w:val="7"/>
    <w:qFormat/>
    <w:uiPriority w:val="0"/>
    <w:pPr>
      <w:bidi w:val="0"/>
      <w:adjustRightInd w:val="0"/>
      <w:snapToGrid w:val="0"/>
      <w:spacing w:line="288" w:lineRule="auto"/>
    </w:pPr>
    <w:rPr>
      <w:rFonts w:ascii="微软雅黑" w:hAnsi="微软雅黑" w:eastAsia="微软雅黑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5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="微软雅黑" w:hAnsi="微软雅黑" w:eastAsia="微软雅黑"/>
      <w:b/>
      <w:sz w:val="28"/>
      <w:szCs w:val="28"/>
    </w:rPr>
  </w:style>
  <w:style w:type="paragraph" w:customStyle="1" w:styleId="46">
    <w:name w:val="致谢标题"/>
    <w:qFormat/>
    <w:uiPriority w:val="0"/>
    <w:pPr>
      <w:bidi w:val="0"/>
      <w:adjustRightInd w:val="0"/>
      <w:snapToGrid w:val="0"/>
      <w:spacing w:beforeLines="0" w:after="100" w:afterLines="100" w:line="240" w:lineRule="auto"/>
      <w:jc w:val="center"/>
      <w:outlineLvl w:val="0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47">
    <w:name w:val="声明标题"/>
    <w:next w:val="7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48">
    <w:name w:val="参考文献标题"/>
    <w:link w:val="49"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theme="minorBidi"/>
      <w:b/>
      <w:bCs/>
      <w:sz w:val="44"/>
      <w:szCs w:val="44"/>
      <w:lang w:val="en-US" w:eastAsia="zh-CN"/>
    </w:rPr>
  </w:style>
  <w:style w:type="character" w:customStyle="1" w:styleId="49">
    <w:name w:val="参考文献标题 Char"/>
    <w:link w:val="48"/>
    <w:qFormat/>
    <w:uiPriority w:val="0"/>
    <w:rPr>
      <w:rFonts w:ascii="微软雅黑" w:hAnsi="微软雅黑" w:eastAsia="微软雅黑"/>
      <w:b/>
      <w:bCs/>
      <w:sz w:val="44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1075</Words>
  <Characters>1260</Characters>
  <Lines>0</Lines>
  <Paragraphs>0</Paragraphs>
  <TotalTime>8</TotalTime>
  <ScaleCrop>false</ScaleCrop>
  <LinksUpToDate>false</LinksUpToDate>
  <CharactersWithSpaces>1306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2025-12-25T09:33:00Z</dcterms:created>
  <dc:creator>老王很旺</dc:creator>
  <cp:lastModifiedBy>老王很旺</cp:lastModifiedBy>
  <dcterms:modified xsi:type="dcterms:W3CDTF">2026-01-08T11:53:34Z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D8A411606C3C4D9DB4DE1E364A5DCBC9_11</vt:lpwstr>
  </property>
  <property fmtid="{D5CDD505-2E9C-101B-9397-08002B2CF9AE}" pid="4" name="KSOTemplateDocerSaveRecord">
    <vt:lpwstr>eyJoZGlkIjoiYzkyZjdkN2EzMjJhNDlhNTQyODgzZWZkY2YyNDA1MmYiLCJ1c2VySWQiOiI4ODUyODAwMTAifQ==</vt:lpwstr>
  </property>
</Properties>
</file>