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2C80" w14:textId="77777777" w:rsidR="00271E7E" w:rsidRDefault="00000000">
      <w:pPr>
        <w:pStyle w:val="a0"/>
        <w:spacing w:after="62"/>
        <w:rPr>
          <w:rFonts w:hint="eastAsia"/>
        </w:rPr>
      </w:pPr>
      <w:r>
        <w:rPr>
          <w:noProof/>
        </w:rPr>
        <w:drawing>
          <wp:anchor distT="0" distB="0" distL="114300" distR="114300" simplePos="0" relativeHeight="251659264" behindDoc="1" locked="0" layoutInCell="1" allowOverlap="1" wp14:anchorId="0C2EB9F3" wp14:editId="77A047CF">
            <wp:simplePos x="0" y="0"/>
            <wp:positionH relativeFrom="column">
              <wp:posOffset>-1207135</wp:posOffset>
            </wp:positionH>
            <wp:positionV relativeFrom="page">
              <wp:posOffset>0</wp:posOffset>
            </wp:positionV>
            <wp:extent cx="7688580" cy="10743565"/>
            <wp:effectExtent l="0" t="0" r="7620" b="635"/>
            <wp:wrapNone/>
            <wp:docPr id="40" name="图片 40" descr="a1b0694d1d522922bb93bdbab9634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a1b0694d1d522922bb93bdbab96340aa"/>
                    <pic:cNvPicPr>
                      <a:picLocks noChangeAspect="1"/>
                    </pic:cNvPicPr>
                  </pic:nvPicPr>
                  <pic:blipFill>
                    <a:blip r:embed="rId8"/>
                    <a:stretch>
                      <a:fillRect/>
                    </a:stretch>
                  </pic:blipFill>
                  <pic:spPr>
                    <a:xfrm>
                      <a:off x="0" y="0"/>
                      <a:ext cx="7688580" cy="10743565"/>
                    </a:xfrm>
                    <a:prstGeom prst="rect">
                      <a:avLst/>
                    </a:prstGeom>
                  </pic:spPr>
                </pic:pic>
              </a:graphicData>
            </a:graphic>
          </wp:anchor>
        </w:drawing>
      </w:r>
      <w:r>
        <w:br w:type="page"/>
      </w:r>
    </w:p>
    <w:sdt>
      <w:sdtPr>
        <w:rPr>
          <w:rFonts w:ascii="宋体" w:eastAsia="宋体" w:hAnsi="宋体"/>
        </w:rPr>
        <w:id w:val="147458280"/>
        <w15:color w:val="DBDBDB"/>
        <w:docPartObj>
          <w:docPartGallery w:val="Table of Contents"/>
          <w:docPartUnique/>
        </w:docPartObj>
      </w:sdtPr>
      <w:sdtContent>
        <w:p w14:paraId="7B99F892" w14:textId="77777777" w:rsidR="00271E7E" w:rsidRDefault="00000000">
          <w:pPr>
            <w:spacing w:afterLines="0" w:after="0" w:line="240" w:lineRule="auto"/>
            <w:ind w:firstLineChars="0" w:firstLine="0"/>
            <w:jc w:val="center"/>
            <w:rPr>
              <w:rFonts w:hint="eastAsia"/>
            </w:rPr>
          </w:pPr>
          <w:r>
            <w:rPr>
              <w:rFonts w:ascii="宋体" w:eastAsia="宋体" w:hAnsi="宋体"/>
            </w:rPr>
            <w:t>目录</w:t>
          </w:r>
        </w:p>
        <w:p w14:paraId="5CE20394" w14:textId="77777777" w:rsidR="00271E7E" w:rsidRDefault="00000000">
          <w:pPr>
            <w:pStyle w:val="TOC1"/>
            <w:tabs>
              <w:tab w:val="right" w:leader="dot" w:pos="8306"/>
            </w:tabs>
            <w:spacing w:after="62"/>
            <w:rPr>
              <w:rFonts w:hint="eastAsia"/>
            </w:rPr>
          </w:pPr>
          <w:r>
            <w:fldChar w:fldCharType="begin"/>
          </w:r>
          <w:r>
            <w:instrText xml:space="preserve">TOC \o "1-2" \h \u </w:instrText>
          </w:r>
          <w:r>
            <w:fldChar w:fldCharType="separate"/>
          </w:r>
          <w:hyperlink w:anchor="_Toc23565" w:history="1">
            <w:r>
              <w:t>1. 项目概述</w:t>
            </w:r>
            <w:r>
              <w:tab/>
            </w:r>
            <w:r>
              <w:fldChar w:fldCharType="begin"/>
            </w:r>
            <w:r>
              <w:instrText xml:space="preserve"> PAGEREF _Toc23565 \h </w:instrText>
            </w:r>
            <w:r>
              <w:fldChar w:fldCharType="separate"/>
            </w:r>
            <w:r>
              <w:t>3</w:t>
            </w:r>
            <w:r>
              <w:fldChar w:fldCharType="end"/>
            </w:r>
          </w:hyperlink>
        </w:p>
        <w:p w14:paraId="65B03F6C" w14:textId="77777777" w:rsidR="00271E7E" w:rsidRDefault="00000000">
          <w:pPr>
            <w:pStyle w:val="TOC1"/>
            <w:tabs>
              <w:tab w:val="right" w:leader="dot" w:pos="8306"/>
            </w:tabs>
            <w:spacing w:after="62"/>
            <w:rPr>
              <w:rFonts w:hint="eastAsia"/>
            </w:rPr>
          </w:pPr>
          <w:hyperlink w:anchor="_Toc16254" w:history="1">
            <w:r>
              <w:t>2. 市场分析与痛点洞察</w:t>
            </w:r>
            <w:r>
              <w:tab/>
            </w:r>
            <w:r>
              <w:fldChar w:fldCharType="begin"/>
            </w:r>
            <w:r>
              <w:instrText xml:space="preserve"> PAGEREF _Toc16254 \h </w:instrText>
            </w:r>
            <w:r>
              <w:fldChar w:fldCharType="separate"/>
            </w:r>
            <w:r>
              <w:t>3</w:t>
            </w:r>
            <w:r>
              <w:fldChar w:fldCharType="end"/>
            </w:r>
          </w:hyperlink>
        </w:p>
        <w:p w14:paraId="357DF956" w14:textId="77777777" w:rsidR="00271E7E" w:rsidRDefault="00000000">
          <w:pPr>
            <w:pStyle w:val="TOC2"/>
            <w:tabs>
              <w:tab w:val="right" w:leader="dot" w:pos="8306"/>
            </w:tabs>
            <w:spacing w:after="62"/>
            <w:rPr>
              <w:rFonts w:hint="eastAsia"/>
            </w:rPr>
          </w:pPr>
          <w:hyperlink w:anchor="_Toc24014" w:history="1">
            <w:r>
              <w:t>2.1. 政策风口</w:t>
            </w:r>
            <w:r>
              <w:tab/>
            </w:r>
            <w:r>
              <w:fldChar w:fldCharType="begin"/>
            </w:r>
            <w:r>
              <w:instrText xml:space="preserve"> PAGEREF _Toc24014 \h </w:instrText>
            </w:r>
            <w:r>
              <w:fldChar w:fldCharType="separate"/>
            </w:r>
            <w:r>
              <w:t>3</w:t>
            </w:r>
            <w:r>
              <w:fldChar w:fldCharType="end"/>
            </w:r>
          </w:hyperlink>
        </w:p>
        <w:p w14:paraId="3CD32FAF" w14:textId="77777777" w:rsidR="00271E7E" w:rsidRDefault="00000000">
          <w:pPr>
            <w:pStyle w:val="TOC2"/>
            <w:tabs>
              <w:tab w:val="right" w:leader="dot" w:pos="8306"/>
            </w:tabs>
            <w:spacing w:after="62"/>
            <w:rPr>
              <w:rFonts w:hint="eastAsia"/>
            </w:rPr>
          </w:pPr>
          <w:hyperlink w:anchor="_Toc29284" w:history="1">
            <w:r>
              <w:t>2.2. 行业现状</w:t>
            </w:r>
            <w:r>
              <w:tab/>
            </w:r>
            <w:r>
              <w:fldChar w:fldCharType="begin"/>
            </w:r>
            <w:r>
              <w:instrText xml:space="preserve"> PAGEREF _Toc29284 \h </w:instrText>
            </w:r>
            <w:r>
              <w:fldChar w:fldCharType="separate"/>
            </w:r>
            <w:r>
              <w:t>3</w:t>
            </w:r>
            <w:r>
              <w:fldChar w:fldCharType="end"/>
            </w:r>
          </w:hyperlink>
        </w:p>
        <w:p w14:paraId="0CD92571" w14:textId="77777777" w:rsidR="00271E7E" w:rsidRDefault="00000000">
          <w:pPr>
            <w:pStyle w:val="TOC2"/>
            <w:tabs>
              <w:tab w:val="right" w:leader="dot" w:pos="8306"/>
            </w:tabs>
            <w:spacing w:after="62"/>
            <w:rPr>
              <w:rFonts w:hint="eastAsia"/>
            </w:rPr>
          </w:pPr>
          <w:hyperlink w:anchor="_Toc18884" w:history="1">
            <w:r>
              <w:t xml:space="preserve">2.3. </w:t>
            </w:r>
            <w:r>
              <w:rPr>
                <w:rFonts w:hint="eastAsia"/>
              </w:rPr>
              <w:t>用户</w:t>
            </w:r>
            <w:r>
              <w:t>调研</w:t>
            </w:r>
            <w:r>
              <w:tab/>
            </w:r>
            <w:r>
              <w:fldChar w:fldCharType="begin"/>
            </w:r>
            <w:r>
              <w:instrText xml:space="preserve"> PAGEREF _Toc18884 \h </w:instrText>
            </w:r>
            <w:r>
              <w:fldChar w:fldCharType="separate"/>
            </w:r>
            <w:r>
              <w:t>4</w:t>
            </w:r>
            <w:r>
              <w:fldChar w:fldCharType="end"/>
            </w:r>
          </w:hyperlink>
        </w:p>
        <w:p w14:paraId="017E23DD" w14:textId="77777777" w:rsidR="00271E7E" w:rsidRDefault="00000000">
          <w:pPr>
            <w:pStyle w:val="TOC2"/>
            <w:tabs>
              <w:tab w:val="right" w:leader="dot" w:pos="8306"/>
            </w:tabs>
            <w:spacing w:after="62"/>
            <w:rPr>
              <w:rFonts w:hint="eastAsia"/>
            </w:rPr>
          </w:pPr>
          <w:hyperlink w:anchor="_Toc6450" w:history="1">
            <w:r>
              <w:t>2.4. 目标市场</w:t>
            </w:r>
            <w:r>
              <w:tab/>
            </w:r>
            <w:r>
              <w:fldChar w:fldCharType="begin"/>
            </w:r>
            <w:r>
              <w:instrText xml:space="preserve"> PAGEREF _Toc6450 \h </w:instrText>
            </w:r>
            <w:r>
              <w:fldChar w:fldCharType="separate"/>
            </w:r>
            <w:r>
              <w:t>5</w:t>
            </w:r>
            <w:r>
              <w:fldChar w:fldCharType="end"/>
            </w:r>
          </w:hyperlink>
        </w:p>
        <w:p w14:paraId="5F329785" w14:textId="77777777" w:rsidR="00271E7E" w:rsidRDefault="00000000">
          <w:pPr>
            <w:pStyle w:val="TOC2"/>
            <w:tabs>
              <w:tab w:val="right" w:leader="dot" w:pos="8306"/>
            </w:tabs>
            <w:spacing w:after="62"/>
            <w:rPr>
              <w:rFonts w:hint="eastAsia"/>
            </w:rPr>
          </w:pPr>
          <w:hyperlink w:anchor="_Toc11116" w:history="1">
            <w:r>
              <w:t>2.5. 市场规模与增长潜力</w:t>
            </w:r>
            <w:r>
              <w:tab/>
            </w:r>
            <w:r>
              <w:fldChar w:fldCharType="begin"/>
            </w:r>
            <w:r>
              <w:instrText xml:space="preserve"> PAGEREF _Toc11116 \h </w:instrText>
            </w:r>
            <w:r>
              <w:fldChar w:fldCharType="separate"/>
            </w:r>
            <w:r>
              <w:t>6</w:t>
            </w:r>
            <w:r>
              <w:fldChar w:fldCharType="end"/>
            </w:r>
          </w:hyperlink>
        </w:p>
        <w:p w14:paraId="32EBB909" w14:textId="77777777" w:rsidR="00271E7E" w:rsidRDefault="00000000">
          <w:pPr>
            <w:pStyle w:val="TOC1"/>
            <w:tabs>
              <w:tab w:val="right" w:leader="dot" w:pos="8306"/>
            </w:tabs>
            <w:spacing w:after="62"/>
            <w:rPr>
              <w:rFonts w:hint="eastAsia"/>
            </w:rPr>
          </w:pPr>
          <w:hyperlink w:anchor="_Toc12194" w:history="1">
            <w:r>
              <w:t xml:space="preserve">3. </w:t>
            </w:r>
            <w:r>
              <w:rPr>
                <w:rFonts w:hint="eastAsia"/>
              </w:rPr>
              <w:t>SWOT 分析</w:t>
            </w:r>
            <w:r>
              <w:tab/>
            </w:r>
            <w:r>
              <w:fldChar w:fldCharType="begin"/>
            </w:r>
            <w:r>
              <w:instrText xml:space="preserve"> PAGEREF _Toc12194 \h </w:instrText>
            </w:r>
            <w:r>
              <w:fldChar w:fldCharType="separate"/>
            </w:r>
            <w:r>
              <w:t>6</w:t>
            </w:r>
            <w:r>
              <w:fldChar w:fldCharType="end"/>
            </w:r>
          </w:hyperlink>
        </w:p>
        <w:p w14:paraId="18266CE8" w14:textId="77777777" w:rsidR="00271E7E" w:rsidRDefault="00000000">
          <w:pPr>
            <w:pStyle w:val="TOC1"/>
            <w:tabs>
              <w:tab w:val="right" w:leader="dot" w:pos="8306"/>
            </w:tabs>
            <w:spacing w:after="62"/>
            <w:rPr>
              <w:rFonts w:hint="eastAsia"/>
            </w:rPr>
          </w:pPr>
          <w:hyperlink w:anchor="_Toc32007" w:history="1">
            <w:r>
              <w:t>4. 解决方案</w:t>
            </w:r>
            <w:r>
              <w:tab/>
            </w:r>
            <w:r>
              <w:fldChar w:fldCharType="begin"/>
            </w:r>
            <w:r>
              <w:instrText xml:space="preserve"> PAGEREF _Toc32007 \h </w:instrText>
            </w:r>
            <w:r>
              <w:fldChar w:fldCharType="separate"/>
            </w:r>
            <w:r>
              <w:t>8</w:t>
            </w:r>
            <w:r>
              <w:fldChar w:fldCharType="end"/>
            </w:r>
          </w:hyperlink>
        </w:p>
        <w:p w14:paraId="152CC392" w14:textId="77777777" w:rsidR="00271E7E" w:rsidRDefault="00000000">
          <w:pPr>
            <w:pStyle w:val="TOC2"/>
            <w:tabs>
              <w:tab w:val="right" w:leader="dot" w:pos="8306"/>
            </w:tabs>
            <w:spacing w:after="62"/>
            <w:rPr>
              <w:rFonts w:hint="eastAsia"/>
            </w:rPr>
          </w:pPr>
          <w:hyperlink w:anchor="_Toc9905" w:history="1">
            <w:r>
              <w:t xml:space="preserve">4.1. </w:t>
            </w:r>
            <w:r>
              <w:rPr>
                <w:rFonts w:hint="eastAsia"/>
              </w:rPr>
              <w:t>总体设计思路</w:t>
            </w:r>
            <w:r>
              <w:tab/>
            </w:r>
            <w:r>
              <w:fldChar w:fldCharType="begin"/>
            </w:r>
            <w:r>
              <w:instrText xml:space="preserve"> PAGEREF _Toc9905 \h </w:instrText>
            </w:r>
            <w:r>
              <w:fldChar w:fldCharType="separate"/>
            </w:r>
            <w:r>
              <w:t>8</w:t>
            </w:r>
            <w:r>
              <w:fldChar w:fldCharType="end"/>
            </w:r>
          </w:hyperlink>
        </w:p>
        <w:p w14:paraId="71576FDC" w14:textId="77777777" w:rsidR="00271E7E" w:rsidRDefault="00000000">
          <w:pPr>
            <w:pStyle w:val="TOC2"/>
            <w:tabs>
              <w:tab w:val="right" w:leader="dot" w:pos="8306"/>
            </w:tabs>
            <w:spacing w:after="62"/>
            <w:rPr>
              <w:rFonts w:hint="eastAsia"/>
            </w:rPr>
          </w:pPr>
          <w:hyperlink w:anchor="_Toc21587" w:history="1">
            <w:r>
              <w:t xml:space="preserve">4.2. </w:t>
            </w:r>
            <w:r>
              <w:rPr>
                <w:rFonts w:hint="eastAsia"/>
              </w:rPr>
              <w:t>系统总体架构设计</w:t>
            </w:r>
            <w:r>
              <w:tab/>
            </w:r>
            <w:r>
              <w:fldChar w:fldCharType="begin"/>
            </w:r>
            <w:r>
              <w:instrText xml:space="preserve"> PAGEREF _Toc21587 \h </w:instrText>
            </w:r>
            <w:r>
              <w:fldChar w:fldCharType="separate"/>
            </w:r>
            <w:r>
              <w:t>8</w:t>
            </w:r>
            <w:r>
              <w:fldChar w:fldCharType="end"/>
            </w:r>
          </w:hyperlink>
        </w:p>
        <w:p w14:paraId="426B3120" w14:textId="77777777" w:rsidR="00271E7E" w:rsidRDefault="00000000">
          <w:pPr>
            <w:pStyle w:val="TOC1"/>
            <w:tabs>
              <w:tab w:val="right" w:leader="dot" w:pos="8306"/>
            </w:tabs>
            <w:spacing w:after="62"/>
            <w:rPr>
              <w:rFonts w:hint="eastAsia"/>
            </w:rPr>
          </w:pPr>
          <w:hyperlink w:anchor="_Toc27387" w:history="1">
            <w:r>
              <w:t>5. 4P 营销组合策略</w:t>
            </w:r>
            <w:r>
              <w:tab/>
            </w:r>
            <w:r>
              <w:fldChar w:fldCharType="begin"/>
            </w:r>
            <w:r>
              <w:instrText xml:space="preserve"> PAGEREF _Toc27387 \h </w:instrText>
            </w:r>
            <w:r>
              <w:fldChar w:fldCharType="separate"/>
            </w:r>
            <w:r>
              <w:t>17</w:t>
            </w:r>
            <w:r>
              <w:fldChar w:fldCharType="end"/>
            </w:r>
          </w:hyperlink>
        </w:p>
        <w:p w14:paraId="2548692D" w14:textId="77777777" w:rsidR="00271E7E" w:rsidRDefault="00000000">
          <w:pPr>
            <w:pStyle w:val="TOC1"/>
            <w:tabs>
              <w:tab w:val="right" w:leader="dot" w:pos="8306"/>
            </w:tabs>
            <w:spacing w:after="62"/>
            <w:rPr>
              <w:rFonts w:hint="eastAsia"/>
            </w:rPr>
          </w:pPr>
          <w:hyperlink w:anchor="_Toc10763" w:history="1">
            <w:r>
              <w:t xml:space="preserve">6. </w:t>
            </w:r>
            <w:r>
              <w:rPr>
                <w:rFonts w:hint="eastAsia"/>
              </w:rPr>
              <w:t>商业模式</w:t>
            </w:r>
            <w:r>
              <w:tab/>
            </w:r>
            <w:r>
              <w:fldChar w:fldCharType="begin"/>
            </w:r>
            <w:r>
              <w:instrText xml:space="preserve"> PAGEREF _Toc10763 \h </w:instrText>
            </w:r>
            <w:r>
              <w:fldChar w:fldCharType="separate"/>
            </w:r>
            <w:r>
              <w:t>18</w:t>
            </w:r>
            <w:r>
              <w:fldChar w:fldCharType="end"/>
            </w:r>
          </w:hyperlink>
        </w:p>
        <w:p w14:paraId="65F7A0F0" w14:textId="77777777" w:rsidR="00271E7E" w:rsidRDefault="00000000">
          <w:pPr>
            <w:pStyle w:val="TOC1"/>
            <w:tabs>
              <w:tab w:val="right" w:leader="dot" w:pos="8306"/>
            </w:tabs>
            <w:spacing w:after="62"/>
            <w:rPr>
              <w:rFonts w:hint="eastAsia"/>
            </w:rPr>
          </w:pPr>
          <w:hyperlink w:anchor="_Toc32431" w:history="1">
            <w:r>
              <w:t xml:space="preserve">7. </w:t>
            </w:r>
            <w:r>
              <w:rPr>
                <w:rFonts w:hint="eastAsia"/>
              </w:rPr>
              <w:t>财务规划</w:t>
            </w:r>
            <w:r>
              <w:tab/>
            </w:r>
            <w:r>
              <w:fldChar w:fldCharType="begin"/>
            </w:r>
            <w:r>
              <w:instrText xml:space="preserve"> PAGEREF _Toc32431 \h </w:instrText>
            </w:r>
            <w:r>
              <w:fldChar w:fldCharType="separate"/>
            </w:r>
            <w:r>
              <w:t>19</w:t>
            </w:r>
            <w:r>
              <w:fldChar w:fldCharType="end"/>
            </w:r>
          </w:hyperlink>
        </w:p>
        <w:p w14:paraId="67E5FCDD" w14:textId="77777777" w:rsidR="00271E7E" w:rsidRDefault="00000000">
          <w:pPr>
            <w:pStyle w:val="TOC2"/>
            <w:tabs>
              <w:tab w:val="right" w:leader="dot" w:pos="8306"/>
            </w:tabs>
            <w:spacing w:after="62"/>
            <w:rPr>
              <w:rFonts w:hint="eastAsia"/>
            </w:rPr>
          </w:pPr>
          <w:hyperlink w:anchor="_Toc14973" w:history="1">
            <w:r>
              <w:t xml:space="preserve">7.1. </w:t>
            </w:r>
            <w:r>
              <w:rPr>
                <w:rFonts w:hint="eastAsia"/>
              </w:rPr>
              <w:t>收入预测逻辑：从“卖设备”走向“卖持续服务”</w:t>
            </w:r>
            <w:r>
              <w:tab/>
            </w:r>
            <w:r>
              <w:fldChar w:fldCharType="begin"/>
            </w:r>
            <w:r>
              <w:instrText xml:space="preserve"> PAGEREF _Toc14973 \h </w:instrText>
            </w:r>
            <w:r>
              <w:fldChar w:fldCharType="separate"/>
            </w:r>
            <w:r>
              <w:t>19</w:t>
            </w:r>
            <w:r>
              <w:fldChar w:fldCharType="end"/>
            </w:r>
          </w:hyperlink>
        </w:p>
        <w:p w14:paraId="7D2296C7" w14:textId="77777777" w:rsidR="00271E7E" w:rsidRDefault="00000000">
          <w:pPr>
            <w:pStyle w:val="TOC2"/>
            <w:tabs>
              <w:tab w:val="right" w:leader="dot" w:pos="8306"/>
            </w:tabs>
            <w:spacing w:after="62"/>
            <w:rPr>
              <w:rFonts w:hint="eastAsia"/>
            </w:rPr>
          </w:pPr>
          <w:hyperlink w:anchor="_Toc19542" w:history="1">
            <w:r>
              <w:t xml:space="preserve">7.2. </w:t>
            </w:r>
            <w:r>
              <w:rPr>
                <w:rFonts w:hint="eastAsia"/>
              </w:rPr>
              <w:t>成本结构</w:t>
            </w:r>
            <w:r>
              <w:tab/>
            </w:r>
            <w:r>
              <w:fldChar w:fldCharType="begin"/>
            </w:r>
            <w:r>
              <w:instrText xml:space="preserve"> PAGEREF _Toc19542 \h </w:instrText>
            </w:r>
            <w:r>
              <w:fldChar w:fldCharType="separate"/>
            </w:r>
            <w:r>
              <w:t>19</w:t>
            </w:r>
            <w:r>
              <w:fldChar w:fldCharType="end"/>
            </w:r>
          </w:hyperlink>
        </w:p>
        <w:p w14:paraId="32FF5119" w14:textId="77777777" w:rsidR="00271E7E" w:rsidRDefault="00000000">
          <w:pPr>
            <w:pStyle w:val="TOC2"/>
            <w:tabs>
              <w:tab w:val="right" w:leader="dot" w:pos="8306"/>
            </w:tabs>
            <w:spacing w:after="62"/>
            <w:rPr>
              <w:rFonts w:hint="eastAsia"/>
            </w:rPr>
          </w:pPr>
          <w:hyperlink w:anchor="_Toc12211" w:history="1">
            <w:r>
              <w:t xml:space="preserve">7.3. </w:t>
            </w:r>
            <w:r>
              <w:rPr>
                <w:rFonts w:hint="eastAsia"/>
              </w:rPr>
              <w:t>盈亏平衡点</w:t>
            </w:r>
            <w:r>
              <w:tab/>
            </w:r>
            <w:r>
              <w:fldChar w:fldCharType="begin"/>
            </w:r>
            <w:r>
              <w:instrText xml:space="preserve"> PAGEREF _Toc12211 \h </w:instrText>
            </w:r>
            <w:r>
              <w:fldChar w:fldCharType="separate"/>
            </w:r>
            <w:r>
              <w:t>19</w:t>
            </w:r>
            <w:r>
              <w:fldChar w:fldCharType="end"/>
            </w:r>
          </w:hyperlink>
        </w:p>
        <w:p w14:paraId="07D6E8DA" w14:textId="77777777" w:rsidR="00271E7E" w:rsidRDefault="00000000">
          <w:pPr>
            <w:pStyle w:val="TOC2"/>
            <w:tabs>
              <w:tab w:val="right" w:leader="dot" w:pos="8306"/>
            </w:tabs>
            <w:spacing w:after="62"/>
            <w:rPr>
              <w:rFonts w:hint="eastAsia"/>
            </w:rPr>
          </w:pPr>
          <w:hyperlink w:anchor="_Toc16594" w:history="1">
            <w:r>
              <w:t xml:space="preserve">7.4. </w:t>
            </w:r>
            <w:r>
              <w:rPr>
                <w:rFonts w:hint="eastAsia"/>
              </w:rPr>
              <w:t>社会效益指标</w:t>
            </w:r>
            <w:r>
              <w:tab/>
            </w:r>
            <w:r>
              <w:fldChar w:fldCharType="begin"/>
            </w:r>
            <w:r>
              <w:instrText xml:space="preserve"> PAGEREF _Toc16594 \h </w:instrText>
            </w:r>
            <w:r>
              <w:fldChar w:fldCharType="separate"/>
            </w:r>
            <w:r>
              <w:t>19</w:t>
            </w:r>
            <w:r>
              <w:fldChar w:fldCharType="end"/>
            </w:r>
          </w:hyperlink>
        </w:p>
        <w:p w14:paraId="5AAFB295" w14:textId="77777777" w:rsidR="00271E7E" w:rsidRDefault="00000000">
          <w:pPr>
            <w:pStyle w:val="TOC2"/>
            <w:tabs>
              <w:tab w:val="right" w:leader="dot" w:pos="8306"/>
            </w:tabs>
            <w:spacing w:after="62"/>
            <w:rPr>
              <w:rFonts w:hint="eastAsia"/>
            </w:rPr>
          </w:pPr>
          <w:hyperlink w:anchor="_Toc2563" w:history="1">
            <w:r>
              <w:t xml:space="preserve">7.5. </w:t>
            </w:r>
            <w:r>
              <w:rPr>
                <w:rFonts w:hint="eastAsia"/>
              </w:rPr>
              <w:t>合理性校验与敏感性</w:t>
            </w:r>
            <w:r>
              <w:tab/>
            </w:r>
            <w:r>
              <w:fldChar w:fldCharType="begin"/>
            </w:r>
            <w:r>
              <w:instrText xml:space="preserve"> PAGEREF _Toc2563 \h </w:instrText>
            </w:r>
            <w:r>
              <w:fldChar w:fldCharType="separate"/>
            </w:r>
            <w:r>
              <w:t>20</w:t>
            </w:r>
            <w:r>
              <w:fldChar w:fldCharType="end"/>
            </w:r>
          </w:hyperlink>
        </w:p>
        <w:p w14:paraId="2162F198" w14:textId="77777777" w:rsidR="00271E7E" w:rsidRDefault="00000000">
          <w:pPr>
            <w:pStyle w:val="TOC1"/>
            <w:tabs>
              <w:tab w:val="right" w:leader="dot" w:pos="8306"/>
            </w:tabs>
            <w:spacing w:after="62"/>
            <w:rPr>
              <w:rFonts w:hint="eastAsia"/>
            </w:rPr>
          </w:pPr>
          <w:hyperlink w:anchor="_Toc28212" w:history="1">
            <w:r>
              <w:t xml:space="preserve">8. </w:t>
            </w:r>
            <w:r>
              <w:rPr>
                <w:rFonts w:hint="eastAsia"/>
              </w:rPr>
              <w:t>实施计划</w:t>
            </w:r>
            <w:r>
              <w:tab/>
            </w:r>
            <w:r>
              <w:fldChar w:fldCharType="begin"/>
            </w:r>
            <w:r>
              <w:instrText xml:space="preserve"> PAGEREF _Toc28212 \h </w:instrText>
            </w:r>
            <w:r>
              <w:fldChar w:fldCharType="separate"/>
            </w:r>
            <w:r>
              <w:t>20</w:t>
            </w:r>
            <w:r>
              <w:fldChar w:fldCharType="end"/>
            </w:r>
          </w:hyperlink>
        </w:p>
        <w:p w14:paraId="6BDB2A89" w14:textId="77777777" w:rsidR="00271E7E" w:rsidRDefault="00000000">
          <w:pPr>
            <w:pStyle w:val="TOC1"/>
            <w:tabs>
              <w:tab w:val="right" w:leader="dot" w:pos="8306"/>
            </w:tabs>
            <w:spacing w:after="62"/>
            <w:rPr>
              <w:rFonts w:hint="eastAsia"/>
            </w:rPr>
          </w:pPr>
          <w:hyperlink w:anchor="_Toc8708" w:history="1">
            <w:r>
              <w:t xml:space="preserve">9. </w:t>
            </w:r>
            <w:r>
              <w:rPr>
                <w:rFonts w:hint="eastAsia"/>
              </w:rPr>
              <w:t>风险评估与应对策略</w:t>
            </w:r>
            <w:r>
              <w:tab/>
            </w:r>
            <w:r>
              <w:fldChar w:fldCharType="begin"/>
            </w:r>
            <w:r>
              <w:instrText xml:space="preserve"> PAGEREF _Toc8708 \h </w:instrText>
            </w:r>
            <w:r>
              <w:fldChar w:fldCharType="separate"/>
            </w:r>
            <w:r>
              <w:t>21</w:t>
            </w:r>
            <w:r>
              <w:fldChar w:fldCharType="end"/>
            </w:r>
          </w:hyperlink>
        </w:p>
        <w:p w14:paraId="51FBAD33" w14:textId="77777777" w:rsidR="00271E7E" w:rsidRDefault="00000000">
          <w:pPr>
            <w:pStyle w:val="TOC1"/>
            <w:tabs>
              <w:tab w:val="right" w:leader="dot" w:pos="8306"/>
            </w:tabs>
            <w:spacing w:after="62"/>
            <w:rPr>
              <w:rFonts w:hint="eastAsia"/>
            </w:rPr>
          </w:pPr>
          <w:hyperlink w:anchor="_Toc18011" w:history="1">
            <w:r>
              <w:t>10. 团队</w:t>
            </w:r>
            <w:r>
              <w:rPr>
                <w:rFonts w:hint="eastAsia"/>
              </w:rPr>
              <w:t>优势</w:t>
            </w:r>
            <w:r>
              <w:tab/>
            </w:r>
            <w:r>
              <w:fldChar w:fldCharType="begin"/>
            </w:r>
            <w:r>
              <w:instrText xml:space="preserve"> PAGEREF _Toc18011 \h </w:instrText>
            </w:r>
            <w:r>
              <w:fldChar w:fldCharType="separate"/>
            </w:r>
            <w:r>
              <w:t>21</w:t>
            </w:r>
            <w:r>
              <w:fldChar w:fldCharType="end"/>
            </w:r>
          </w:hyperlink>
        </w:p>
        <w:p w14:paraId="3F3058DE" w14:textId="77777777" w:rsidR="00271E7E" w:rsidRDefault="00000000">
          <w:pPr>
            <w:pStyle w:val="TOC2"/>
            <w:tabs>
              <w:tab w:val="right" w:leader="dot" w:pos="8306"/>
            </w:tabs>
            <w:spacing w:after="62"/>
            <w:rPr>
              <w:rFonts w:hint="eastAsia"/>
            </w:rPr>
          </w:pPr>
          <w:hyperlink w:anchor="_Toc14131" w:history="1">
            <w:r>
              <w:t xml:space="preserve">10.1. </w:t>
            </w:r>
            <w:r>
              <w:rPr>
                <w:rFonts w:hint="eastAsia"/>
              </w:rPr>
              <w:t>核心优势</w:t>
            </w:r>
            <w:r>
              <w:tab/>
            </w:r>
            <w:r>
              <w:fldChar w:fldCharType="begin"/>
            </w:r>
            <w:r>
              <w:instrText xml:space="preserve"> PAGEREF _Toc14131 \h </w:instrText>
            </w:r>
            <w:r>
              <w:fldChar w:fldCharType="separate"/>
            </w:r>
            <w:r>
              <w:t>21</w:t>
            </w:r>
            <w:r>
              <w:fldChar w:fldCharType="end"/>
            </w:r>
          </w:hyperlink>
        </w:p>
        <w:p w14:paraId="3CCE003C" w14:textId="77777777" w:rsidR="00271E7E" w:rsidRDefault="00000000">
          <w:pPr>
            <w:pStyle w:val="TOC2"/>
            <w:tabs>
              <w:tab w:val="right" w:leader="dot" w:pos="8306"/>
            </w:tabs>
            <w:spacing w:after="62"/>
            <w:rPr>
              <w:rFonts w:hint="eastAsia"/>
            </w:rPr>
          </w:pPr>
          <w:hyperlink w:anchor="_Toc13182" w:history="1">
            <w:r>
              <w:t xml:space="preserve">10.2. </w:t>
            </w:r>
            <w:r>
              <w:rPr>
                <w:rFonts w:hint="eastAsia"/>
              </w:rPr>
              <w:t>科研成果</w:t>
            </w:r>
            <w:r>
              <w:tab/>
            </w:r>
            <w:r>
              <w:fldChar w:fldCharType="begin"/>
            </w:r>
            <w:r>
              <w:instrText xml:space="preserve"> PAGEREF _Toc13182 \h </w:instrText>
            </w:r>
            <w:r>
              <w:fldChar w:fldCharType="separate"/>
            </w:r>
            <w:r>
              <w:t>21</w:t>
            </w:r>
            <w:r>
              <w:fldChar w:fldCharType="end"/>
            </w:r>
          </w:hyperlink>
        </w:p>
        <w:p w14:paraId="45EBD17E" w14:textId="77777777" w:rsidR="00271E7E" w:rsidRDefault="00000000">
          <w:pPr>
            <w:pStyle w:val="TOC2"/>
            <w:tabs>
              <w:tab w:val="right" w:leader="dot" w:pos="8306"/>
            </w:tabs>
            <w:spacing w:after="62"/>
            <w:rPr>
              <w:rFonts w:hint="eastAsia"/>
            </w:rPr>
          </w:pPr>
          <w:hyperlink w:anchor="_Toc22745" w:history="1">
            <w:r>
              <w:t xml:space="preserve">10.3. </w:t>
            </w:r>
            <w:r>
              <w:rPr>
                <w:rFonts w:hint="eastAsia"/>
              </w:rPr>
              <w:t>团队实践</w:t>
            </w:r>
            <w:r>
              <w:tab/>
            </w:r>
            <w:r>
              <w:fldChar w:fldCharType="begin"/>
            </w:r>
            <w:r>
              <w:instrText xml:space="preserve"> PAGEREF _Toc22745 \h </w:instrText>
            </w:r>
            <w:r>
              <w:fldChar w:fldCharType="separate"/>
            </w:r>
            <w:r>
              <w:t>22</w:t>
            </w:r>
            <w:r>
              <w:fldChar w:fldCharType="end"/>
            </w:r>
          </w:hyperlink>
        </w:p>
        <w:p w14:paraId="02D0A47F" w14:textId="77777777" w:rsidR="00271E7E" w:rsidRDefault="00000000">
          <w:pPr>
            <w:spacing w:after="62"/>
            <w:rPr>
              <w:rFonts w:hint="eastAsia"/>
            </w:rPr>
          </w:pPr>
          <w:r>
            <w:fldChar w:fldCharType="end"/>
          </w:r>
        </w:p>
      </w:sdtContent>
    </w:sdt>
    <w:p w14:paraId="194347D3" w14:textId="77777777" w:rsidR="00271E7E" w:rsidRDefault="00271E7E">
      <w:pPr>
        <w:spacing w:after="62"/>
        <w:rPr>
          <w:rFonts w:hint="eastAsia"/>
        </w:rPr>
      </w:pPr>
    </w:p>
    <w:p w14:paraId="45271929" w14:textId="77777777" w:rsidR="00271E7E" w:rsidRDefault="00000000">
      <w:pPr>
        <w:pStyle w:val="1"/>
        <w:spacing w:before="312" w:after="62" w:line="240" w:lineRule="auto"/>
        <w:rPr>
          <w:rFonts w:hint="eastAsia"/>
        </w:rPr>
      </w:pPr>
      <w:r>
        <w:rPr>
          <w:rFonts w:hint="eastAsia"/>
        </w:rPr>
        <w:br w:type="page"/>
      </w:r>
      <w:bookmarkStart w:id="0" w:name="_Toc23565"/>
      <w:r>
        <w:lastRenderedPageBreak/>
        <w:t>项目概述</w:t>
      </w:r>
      <w:bookmarkEnd w:id="0"/>
    </w:p>
    <w:p w14:paraId="07FD0A85" w14:textId="77777777" w:rsidR="00271E7E" w:rsidRDefault="00000000">
      <w:pPr>
        <w:spacing w:after="62"/>
        <w:rPr>
          <w:rFonts w:hint="eastAsia"/>
        </w:rPr>
      </w:pPr>
      <w:r>
        <w:rPr>
          <w:rFonts w:hint="eastAsia"/>
        </w:rPr>
        <w:t>基于对207份草莓种植户问卷与宁波基地走访，我们发现目标用户以41–50岁、4–10年经验为主，种植经验充足但知识结构偏传统；同时，缺培训、怕复杂、怕故障成为智能化落地的最大阻力，导致“想升级但不敢用”。生产端痛点集中在苗情与病害识别、肥水配比、连作障碍，以及温湿度与灌溉长期依赖经验，叠加近年气候波动（高温频发）使种植周期与口感更易受影响，进一步放大了“稳定性与标准化管理”的刚需。</w:t>
      </w:r>
    </w:p>
    <w:p w14:paraId="118954E1" w14:textId="77777777" w:rsidR="00271E7E" w:rsidRDefault="00000000">
      <w:pPr>
        <w:spacing w:after="62"/>
        <w:rPr>
          <w:rFonts w:hint="eastAsia"/>
        </w:rPr>
      </w:pPr>
      <w:r>
        <w:rPr>
          <w:rFonts w:hint="eastAsia"/>
        </w:rPr>
        <w:t>在政策层面，国家持续推进乡村振兴、数字农业与农业现代化，强调以数字技术提升农业生产效率与风险抵御能力，并鼓励农业生产向绿色低碳、节本增效转型。这为设施农业的智能监测、精准调控与服务下沉提供了明确方向与广阔空间，也使“中小农户可用、可负担、可持续”的解决方案更具现实意义。</w:t>
      </w:r>
    </w:p>
    <w:p w14:paraId="5C89F6EE" w14:textId="77777777" w:rsidR="00271E7E" w:rsidRDefault="00000000">
      <w:pPr>
        <w:spacing w:after="62"/>
        <w:rPr>
          <w:rFonts w:hint="eastAsia"/>
        </w:rPr>
      </w:pPr>
      <w:r>
        <w:rPr>
          <w:rFonts w:hint="eastAsia"/>
        </w:rPr>
        <w:t>Stravision 莓界围绕这一需求，以“感知—传输—平台—应用”构建闭环：感知层通过温湿度、土壤、光照、CO₂与视频等多源采集实现关键要素量化；传输层以网关与稳定网络链路保障数据不断线、指令可下发；平台层融合数据分析、告警与AI能力（含病虫害识别与种植建议），将“数据”转化为“可执行的策略”；应用层以Web与移动端的卡片化指标、环境评分、一键分析与一键控制，把复杂操作压缩成农户能理解的日常动作，并提供告警、日志与协作入口，降低学习成本与使用焦虑。</w:t>
      </w:r>
    </w:p>
    <w:p w14:paraId="33D2F555" w14:textId="77777777" w:rsidR="00271E7E" w:rsidRDefault="00000000">
      <w:pPr>
        <w:spacing w:after="62"/>
        <w:rPr>
          <w:rFonts w:hint="eastAsia"/>
        </w:rPr>
      </w:pPr>
      <w:r>
        <w:rPr>
          <w:rFonts w:hint="eastAsia"/>
        </w:rPr>
        <w:t>项目的社会价值在于：让中小农户从“凭经验”走向“按数据”，提升管理稳定性与抗风险能力，促进稳产、稳质、节本；同时通过更精准的水肥与环境调控，推动投入更克制、过程更可追溯的绿色生产方式，为区域农业数字化升级与乡村振兴提供可复制的技术与服务范式。</w:t>
      </w:r>
      <w:bookmarkStart w:id="1" w:name="_Toc16254"/>
    </w:p>
    <w:p w14:paraId="3F1A94CC" w14:textId="77777777" w:rsidR="00271E7E" w:rsidRDefault="00000000">
      <w:pPr>
        <w:pStyle w:val="1"/>
        <w:spacing w:before="312" w:after="62" w:line="240" w:lineRule="auto"/>
        <w:rPr>
          <w:rFonts w:hint="eastAsia"/>
        </w:rPr>
      </w:pPr>
      <w:r>
        <w:t>市场分析与痛点洞察</w:t>
      </w:r>
      <w:bookmarkEnd w:id="1"/>
    </w:p>
    <w:p w14:paraId="79CB248E" w14:textId="77777777" w:rsidR="00271E7E" w:rsidRDefault="00000000">
      <w:pPr>
        <w:pStyle w:val="2"/>
        <w:spacing w:beforeLines="0" w:before="0" w:afterLines="0" w:after="0" w:line="240" w:lineRule="auto"/>
        <w:rPr>
          <w:rFonts w:hint="eastAsia"/>
        </w:rPr>
      </w:pPr>
      <w:bookmarkStart w:id="2" w:name="_Toc24014"/>
      <w:r>
        <w:t>政策风口</w:t>
      </w:r>
      <w:bookmarkEnd w:id="2"/>
    </w:p>
    <w:p w14:paraId="0146629C" w14:textId="77777777" w:rsidR="00271E7E" w:rsidRDefault="00000000">
      <w:pPr>
        <w:spacing w:after="62"/>
        <w:rPr>
          <w:rFonts w:cs="宋体" w:hint="eastAsia"/>
          <w:color w:val="060A26"/>
          <w:kern w:val="0"/>
          <w:sz w:val="24"/>
          <w:szCs w:val="24"/>
        </w:rPr>
      </w:pPr>
      <w:r>
        <w:rPr>
          <w:rFonts w:hint="eastAsia"/>
        </w:rPr>
        <w:t>近年来，国家在中央一号文件及《数字乡村发展行动计划》等政策中，持续强化智慧农业的战略地位，并配套了智能设备采购补贴等激励措施。然而，政策红利向实际生产力的转化仍存在“最后一公里”的梗阻。随着生物安全监管趋严和绿色生产标准的推行，传统农场普遍缺乏符合政策要求、可落地的技术实施路径，导致其难以有效承接政策支持，转型升级步履维艰。</w:t>
      </w:r>
    </w:p>
    <w:p w14:paraId="0441BA71" w14:textId="77777777" w:rsidR="00271E7E" w:rsidRDefault="00000000">
      <w:pPr>
        <w:pStyle w:val="2"/>
        <w:spacing w:before="156" w:after="62" w:line="240" w:lineRule="auto"/>
        <w:rPr>
          <w:rFonts w:hint="eastAsia"/>
        </w:rPr>
      </w:pPr>
      <w:bookmarkStart w:id="3" w:name="_Toc29284"/>
      <w:r>
        <w:t>行业现状</w:t>
      </w:r>
      <w:bookmarkEnd w:id="3"/>
    </w:p>
    <w:p w14:paraId="689A2444" w14:textId="77777777" w:rsidR="00271E7E" w:rsidRDefault="00000000">
      <w:pPr>
        <w:spacing w:after="62"/>
        <w:rPr>
          <w:rFonts w:hint="eastAsia"/>
        </w:rPr>
      </w:pPr>
      <w:r>
        <w:rPr>
          <w:rFonts w:hint="eastAsia"/>
        </w:rPr>
        <w:lastRenderedPageBreak/>
        <w:t>我国草莓种植以中小规模（1-5亩）为主体，占比超七成。传统露地与大棚地栽模式占主导（72.73%），智能模式应用率不足三成。行业普遍采用简易技术（如补光灯、生物农药），但精准技术（如滴灌、传感器）应用率仅45.45%，整体数字化程度偏低，依赖经验种植导致产量品质波动、资源利用率不高。</w:t>
      </w:r>
    </w:p>
    <w:p w14:paraId="7C6E3846" w14:textId="77777777" w:rsidR="00271E7E" w:rsidRDefault="00000000">
      <w:pPr>
        <w:pStyle w:val="2"/>
        <w:spacing w:before="156" w:after="62"/>
        <w:rPr>
          <w:rFonts w:hint="eastAsia"/>
        </w:rPr>
      </w:pPr>
      <w:bookmarkStart w:id="4" w:name="_Toc18884"/>
      <w:r>
        <w:rPr>
          <w:rFonts w:hint="eastAsia"/>
        </w:rPr>
        <w:t>用户</w:t>
      </w:r>
      <w:r>
        <w:t>调研</w:t>
      </w:r>
      <w:bookmarkEnd w:id="4"/>
    </w:p>
    <w:p w14:paraId="2B71C1C7" w14:textId="77777777" w:rsidR="00271E7E" w:rsidRDefault="00000000">
      <w:pPr>
        <w:spacing w:after="62"/>
        <w:rPr>
          <w:rFonts w:hint="eastAsia"/>
        </w:rPr>
      </w:pPr>
      <w:r>
        <w:t>基于207份草莓种植户有效样本与对宁波3家草莓种植基地的实地走访，我们对目标用户画像与核心痛点进行了归纳，结论如下：</w:t>
      </w:r>
    </w:p>
    <w:tbl>
      <w:tblPr>
        <w:tblW w:w="4999" w:type="pct"/>
        <w:tblCellSpacing w:w="15" w:type="dxa"/>
        <w:tblCellMar>
          <w:top w:w="15" w:type="dxa"/>
          <w:left w:w="15" w:type="dxa"/>
          <w:bottom w:w="15" w:type="dxa"/>
          <w:right w:w="15" w:type="dxa"/>
        </w:tblCellMar>
        <w:tblLook w:val="04A0" w:firstRow="1" w:lastRow="0" w:firstColumn="1" w:lastColumn="0" w:noHBand="0" w:noVBand="1"/>
      </w:tblPr>
      <w:tblGrid>
        <w:gridCol w:w="1662"/>
        <w:gridCol w:w="2415"/>
        <w:gridCol w:w="4217"/>
      </w:tblGrid>
      <w:tr w:rsidR="00271E7E" w14:paraId="44919594" w14:textId="77777777">
        <w:trPr>
          <w:tblHeader/>
          <w:tblCellSpacing w:w="15" w:type="dxa"/>
        </w:trPr>
        <w:tc>
          <w:tcPr>
            <w:tcW w:w="975"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623BBF2" w14:textId="77777777" w:rsidR="00271E7E" w:rsidRDefault="00000000">
            <w:pPr>
              <w:pStyle w:val="a0"/>
              <w:spacing w:after="62"/>
              <w:rPr>
                <w:rFonts w:hint="eastAsia"/>
              </w:rPr>
            </w:pPr>
            <w:r>
              <w:t>模块</w:t>
            </w: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EE05C8" w14:textId="77777777" w:rsidR="00271E7E" w:rsidRDefault="00000000">
            <w:pPr>
              <w:pStyle w:val="a0"/>
              <w:spacing w:after="62"/>
              <w:rPr>
                <w:rFonts w:hint="eastAsia"/>
              </w:rPr>
            </w:pPr>
            <w:r>
              <w:t>关键发现</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60C5D0" w14:textId="77777777" w:rsidR="00271E7E" w:rsidRDefault="00000000">
            <w:pPr>
              <w:pStyle w:val="a0"/>
              <w:spacing w:after="62"/>
              <w:rPr>
                <w:rFonts w:hint="eastAsia"/>
              </w:rPr>
            </w:pPr>
            <w:r>
              <w:t>数据（样本=207）</w:t>
            </w:r>
          </w:p>
        </w:tc>
      </w:tr>
      <w:tr w:rsidR="00271E7E" w14:paraId="0E2A48BB" w14:textId="77777777">
        <w:trPr>
          <w:tblCellSpacing w:w="15" w:type="dxa"/>
        </w:trPr>
        <w:tc>
          <w:tcPr>
            <w:tcW w:w="975" w:type="pct"/>
            <w:vMerge w:val="restart"/>
            <w:tcBorders>
              <w:top w:val="single" w:sz="4" w:space="0" w:color="000000"/>
              <w:left w:val="single" w:sz="4" w:space="0" w:color="000000"/>
              <w:right w:val="single" w:sz="4" w:space="0" w:color="000000"/>
            </w:tcBorders>
            <w:shd w:val="clear" w:color="auto" w:fill="FFFFFF"/>
            <w:vAlign w:val="center"/>
          </w:tcPr>
          <w:p w14:paraId="20242084" w14:textId="77777777" w:rsidR="00271E7E" w:rsidRDefault="00000000">
            <w:pPr>
              <w:pStyle w:val="a0"/>
              <w:spacing w:after="62"/>
              <w:rPr>
                <w:rFonts w:hint="eastAsia"/>
              </w:rPr>
            </w:pPr>
            <w:r>
              <w:t>种植主体特征</w:t>
            </w: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0021F3" w14:textId="77777777" w:rsidR="00271E7E" w:rsidRDefault="00000000">
            <w:pPr>
              <w:pStyle w:val="a0"/>
              <w:spacing w:after="62"/>
              <w:rPr>
                <w:rFonts w:hint="eastAsia"/>
              </w:rPr>
            </w:pPr>
            <w:r>
              <w:t>主力年龄集中</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233162" w14:textId="77777777" w:rsidR="00271E7E" w:rsidRDefault="00000000">
            <w:pPr>
              <w:pStyle w:val="a0"/>
              <w:spacing w:after="62"/>
              <w:rPr>
                <w:rFonts w:hint="eastAsia"/>
              </w:rPr>
            </w:pPr>
            <w:r>
              <w:t>41–50岁占比 40%</w:t>
            </w:r>
          </w:p>
        </w:tc>
      </w:tr>
      <w:tr w:rsidR="00271E7E" w14:paraId="1B52636E" w14:textId="77777777">
        <w:trPr>
          <w:tblCellSpacing w:w="15" w:type="dxa"/>
        </w:trPr>
        <w:tc>
          <w:tcPr>
            <w:tcW w:w="975" w:type="pct"/>
            <w:vMerge/>
            <w:tcBorders>
              <w:left w:val="single" w:sz="4" w:space="0" w:color="000000"/>
              <w:bottom w:val="single" w:sz="4" w:space="0" w:color="000000"/>
              <w:right w:val="single" w:sz="4" w:space="0" w:color="000000"/>
            </w:tcBorders>
            <w:shd w:val="clear" w:color="auto" w:fill="FFFFFF"/>
            <w:vAlign w:val="center"/>
          </w:tcPr>
          <w:p w14:paraId="0734F665"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DD269C" w14:textId="77777777" w:rsidR="00271E7E" w:rsidRDefault="00000000">
            <w:pPr>
              <w:pStyle w:val="a0"/>
              <w:spacing w:after="62"/>
              <w:rPr>
                <w:rFonts w:hint="eastAsia"/>
              </w:rPr>
            </w:pPr>
            <w:r>
              <w:t>经验成熟但偏传统</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1EDEB3" w14:textId="77777777" w:rsidR="00271E7E" w:rsidRDefault="00000000">
            <w:pPr>
              <w:pStyle w:val="a0"/>
              <w:spacing w:after="62"/>
              <w:rPr>
                <w:rFonts w:hint="eastAsia"/>
              </w:rPr>
            </w:pPr>
            <w:r>
              <w:t>4–10年经验 78.18%；新手 3.64%</w:t>
            </w:r>
          </w:p>
        </w:tc>
      </w:tr>
      <w:tr w:rsidR="00271E7E" w14:paraId="4E9C56B9" w14:textId="77777777">
        <w:trPr>
          <w:tblCellSpacing w:w="15" w:type="dxa"/>
        </w:trPr>
        <w:tc>
          <w:tcPr>
            <w:tcW w:w="975" w:type="pct"/>
            <w:vMerge w:val="restart"/>
            <w:tcBorders>
              <w:top w:val="single" w:sz="4" w:space="0" w:color="000000"/>
              <w:left w:val="single" w:sz="4" w:space="0" w:color="000000"/>
              <w:right w:val="single" w:sz="4" w:space="0" w:color="000000"/>
            </w:tcBorders>
            <w:shd w:val="clear" w:color="auto" w:fill="FFFFFF"/>
            <w:vAlign w:val="center"/>
          </w:tcPr>
          <w:p w14:paraId="42BD23BD" w14:textId="77777777" w:rsidR="00271E7E" w:rsidRDefault="00000000">
            <w:pPr>
              <w:pStyle w:val="a0"/>
              <w:spacing w:after="62"/>
              <w:rPr>
                <w:rFonts w:hint="eastAsia"/>
              </w:rPr>
            </w:pPr>
            <w:r>
              <w:t>技术应用困境</w:t>
            </w:r>
          </w:p>
          <w:p w14:paraId="6D10ED03"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6186BF" w14:textId="77777777" w:rsidR="00271E7E" w:rsidRDefault="00000000">
            <w:pPr>
              <w:pStyle w:val="a0"/>
              <w:spacing w:after="62"/>
              <w:rPr>
                <w:rFonts w:hint="eastAsia"/>
              </w:rPr>
            </w:pPr>
            <w:r>
              <w:t>缺系统培训</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7B3490" w14:textId="77777777" w:rsidR="00271E7E" w:rsidRDefault="00000000">
            <w:pPr>
              <w:pStyle w:val="a0"/>
              <w:spacing w:after="62"/>
              <w:rPr>
                <w:rFonts w:hint="eastAsia"/>
              </w:rPr>
            </w:pPr>
            <w:r>
              <w:t>72.73%</w:t>
            </w:r>
          </w:p>
        </w:tc>
      </w:tr>
      <w:tr w:rsidR="00271E7E" w14:paraId="47B4630C" w14:textId="77777777">
        <w:trPr>
          <w:tblCellSpacing w:w="15" w:type="dxa"/>
        </w:trPr>
        <w:tc>
          <w:tcPr>
            <w:tcW w:w="975" w:type="pct"/>
            <w:vMerge/>
            <w:tcBorders>
              <w:left w:val="single" w:sz="4" w:space="0" w:color="000000"/>
              <w:right w:val="single" w:sz="4" w:space="0" w:color="000000"/>
            </w:tcBorders>
            <w:shd w:val="clear" w:color="auto" w:fill="FFFFFF"/>
            <w:vAlign w:val="center"/>
          </w:tcPr>
          <w:p w14:paraId="5EB7CBF3"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1813D3" w14:textId="77777777" w:rsidR="00271E7E" w:rsidRDefault="00000000">
            <w:pPr>
              <w:pStyle w:val="a0"/>
              <w:spacing w:after="62"/>
              <w:rPr>
                <w:rFonts w:hint="eastAsia"/>
              </w:rPr>
            </w:pPr>
            <w:r>
              <w:t>操作与维护困难</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BD6ABB" w14:textId="77777777" w:rsidR="00271E7E" w:rsidRDefault="00000000">
            <w:pPr>
              <w:pStyle w:val="a0"/>
              <w:spacing w:after="62"/>
              <w:rPr>
                <w:rFonts w:hint="eastAsia"/>
              </w:rPr>
            </w:pPr>
            <w:r>
              <w:t>72.72%</w:t>
            </w:r>
          </w:p>
        </w:tc>
      </w:tr>
      <w:tr w:rsidR="00271E7E" w14:paraId="5A62D86F" w14:textId="77777777">
        <w:trPr>
          <w:tblCellSpacing w:w="15" w:type="dxa"/>
        </w:trPr>
        <w:tc>
          <w:tcPr>
            <w:tcW w:w="975" w:type="pct"/>
            <w:vMerge/>
            <w:tcBorders>
              <w:left w:val="single" w:sz="4" w:space="0" w:color="000000"/>
              <w:bottom w:val="single" w:sz="4" w:space="0" w:color="000000"/>
              <w:right w:val="single" w:sz="4" w:space="0" w:color="000000"/>
            </w:tcBorders>
            <w:shd w:val="clear" w:color="auto" w:fill="FFFFFF"/>
            <w:vAlign w:val="center"/>
          </w:tcPr>
          <w:p w14:paraId="6E489867"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0B8779" w14:textId="77777777" w:rsidR="00271E7E" w:rsidRDefault="00000000">
            <w:pPr>
              <w:pStyle w:val="a0"/>
              <w:spacing w:after="62"/>
              <w:rPr>
                <w:rFonts w:hint="eastAsia"/>
              </w:rPr>
            </w:pPr>
            <w:r>
              <w:t>认为智能设备复杂</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592811" w14:textId="77777777" w:rsidR="00271E7E" w:rsidRDefault="00000000">
            <w:pPr>
              <w:pStyle w:val="a0"/>
              <w:spacing w:after="62"/>
              <w:rPr>
                <w:rFonts w:hint="eastAsia"/>
              </w:rPr>
            </w:pPr>
            <w:r>
              <w:t>67.27%</w:t>
            </w:r>
          </w:p>
        </w:tc>
      </w:tr>
      <w:tr w:rsidR="00271E7E" w14:paraId="0969F9A8" w14:textId="77777777">
        <w:trPr>
          <w:tblCellSpacing w:w="15" w:type="dxa"/>
        </w:trPr>
        <w:tc>
          <w:tcPr>
            <w:tcW w:w="975" w:type="pct"/>
            <w:vMerge w:val="restart"/>
            <w:tcBorders>
              <w:top w:val="single" w:sz="4" w:space="0" w:color="000000"/>
              <w:left w:val="single" w:sz="4" w:space="0" w:color="000000"/>
              <w:right w:val="single" w:sz="4" w:space="0" w:color="000000"/>
            </w:tcBorders>
            <w:shd w:val="clear" w:color="auto" w:fill="FFFFFF"/>
            <w:vAlign w:val="center"/>
          </w:tcPr>
          <w:p w14:paraId="1D160660" w14:textId="77777777" w:rsidR="00271E7E" w:rsidRDefault="00000000">
            <w:pPr>
              <w:pStyle w:val="a0"/>
              <w:spacing w:after="62"/>
              <w:rPr>
                <w:rFonts w:hint="eastAsia"/>
              </w:rPr>
            </w:pPr>
            <w:r>
              <w:t>生产核心难题</w:t>
            </w:r>
          </w:p>
          <w:p w14:paraId="70FF4180"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80C749" w14:textId="77777777" w:rsidR="00271E7E" w:rsidRDefault="00000000">
            <w:pPr>
              <w:pStyle w:val="a0"/>
              <w:spacing w:after="62"/>
              <w:rPr>
                <w:rFonts w:hint="eastAsia"/>
              </w:rPr>
            </w:pPr>
            <w:r>
              <w:t>草莓苗质量问题突出</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69F1B1" w14:textId="77777777" w:rsidR="00271E7E" w:rsidRDefault="00000000">
            <w:pPr>
              <w:pStyle w:val="a0"/>
              <w:spacing w:after="62"/>
              <w:rPr>
                <w:rFonts w:hint="eastAsia"/>
              </w:rPr>
            </w:pPr>
            <w:r>
              <w:t>76.36%</w:t>
            </w:r>
          </w:p>
        </w:tc>
      </w:tr>
      <w:tr w:rsidR="00271E7E" w14:paraId="57A4E3C9" w14:textId="77777777">
        <w:trPr>
          <w:tblCellSpacing w:w="15" w:type="dxa"/>
        </w:trPr>
        <w:tc>
          <w:tcPr>
            <w:tcW w:w="975" w:type="pct"/>
            <w:vMerge/>
            <w:tcBorders>
              <w:left w:val="single" w:sz="4" w:space="0" w:color="000000"/>
              <w:right w:val="single" w:sz="4" w:space="0" w:color="000000"/>
            </w:tcBorders>
            <w:shd w:val="clear" w:color="auto" w:fill="FFFFFF"/>
            <w:vAlign w:val="center"/>
          </w:tcPr>
          <w:p w14:paraId="419B5A27"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DE65E0" w14:textId="77777777" w:rsidR="00271E7E" w:rsidRDefault="00000000">
            <w:pPr>
              <w:pStyle w:val="a0"/>
              <w:spacing w:after="62"/>
              <w:rPr>
                <w:rFonts w:hint="eastAsia"/>
              </w:rPr>
            </w:pPr>
            <w:r>
              <w:t>病害识别困难</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F74F2B" w14:textId="77777777" w:rsidR="00271E7E" w:rsidRDefault="00000000">
            <w:pPr>
              <w:pStyle w:val="a0"/>
              <w:spacing w:after="62"/>
              <w:rPr>
                <w:rFonts w:hint="eastAsia"/>
              </w:rPr>
            </w:pPr>
            <w:r>
              <w:t>76.36%</w:t>
            </w:r>
          </w:p>
        </w:tc>
      </w:tr>
      <w:tr w:rsidR="00271E7E" w14:paraId="7280E78A" w14:textId="77777777">
        <w:trPr>
          <w:tblCellSpacing w:w="15" w:type="dxa"/>
        </w:trPr>
        <w:tc>
          <w:tcPr>
            <w:tcW w:w="975" w:type="pct"/>
            <w:vMerge/>
            <w:tcBorders>
              <w:left w:val="single" w:sz="4" w:space="0" w:color="000000"/>
              <w:right w:val="single" w:sz="4" w:space="0" w:color="000000"/>
            </w:tcBorders>
            <w:shd w:val="clear" w:color="auto" w:fill="FFFFFF"/>
            <w:vAlign w:val="center"/>
          </w:tcPr>
          <w:p w14:paraId="6BC37494"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5C3472" w14:textId="77777777" w:rsidR="00271E7E" w:rsidRDefault="00000000">
            <w:pPr>
              <w:pStyle w:val="a0"/>
              <w:spacing w:after="62"/>
              <w:rPr>
                <w:rFonts w:hint="eastAsia"/>
              </w:rPr>
            </w:pPr>
            <w:r>
              <w:t>肥料配比难</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54DBCC" w14:textId="77777777" w:rsidR="00271E7E" w:rsidRDefault="00000000">
            <w:pPr>
              <w:pStyle w:val="a0"/>
              <w:spacing w:after="62"/>
              <w:rPr>
                <w:rFonts w:hint="eastAsia"/>
              </w:rPr>
            </w:pPr>
            <w:r>
              <w:t>74.55%</w:t>
            </w:r>
          </w:p>
        </w:tc>
      </w:tr>
      <w:tr w:rsidR="00271E7E" w14:paraId="5A057967" w14:textId="77777777">
        <w:trPr>
          <w:tblCellSpacing w:w="15" w:type="dxa"/>
        </w:trPr>
        <w:tc>
          <w:tcPr>
            <w:tcW w:w="975" w:type="pct"/>
            <w:vMerge/>
            <w:tcBorders>
              <w:left w:val="single" w:sz="4" w:space="0" w:color="000000"/>
              <w:right w:val="single" w:sz="4" w:space="0" w:color="000000"/>
            </w:tcBorders>
            <w:shd w:val="clear" w:color="auto" w:fill="FFFFFF"/>
            <w:vAlign w:val="center"/>
          </w:tcPr>
          <w:p w14:paraId="563F8F72"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6EDB0F" w14:textId="77777777" w:rsidR="00271E7E" w:rsidRDefault="00000000">
            <w:pPr>
              <w:pStyle w:val="a0"/>
              <w:spacing w:after="62"/>
              <w:rPr>
                <w:rFonts w:hint="eastAsia"/>
              </w:rPr>
            </w:pPr>
            <w:r>
              <w:t>土壤连作障碍</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D6B5B3" w14:textId="77777777" w:rsidR="00271E7E" w:rsidRDefault="00000000">
            <w:pPr>
              <w:pStyle w:val="a0"/>
              <w:spacing w:after="62"/>
              <w:rPr>
                <w:rFonts w:hint="eastAsia"/>
              </w:rPr>
            </w:pPr>
            <w:r>
              <w:t>70.91%</w:t>
            </w:r>
          </w:p>
        </w:tc>
      </w:tr>
      <w:tr w:rsidR="00271E7E" w14:paraId="4578E1C4" w14:textId="77777777">
        <w:trPr>
          <w:tblCellSpacing w:w="15" w:type="dxa"/>
        </w:trPr>
        <w:tc>
          <w:tcPr>
            <w:tcW w:w="975" w:type="pct"/>
            <w:vMerge/>
            <w:tcBorders>
              <w:left w:val="single" w:sz="4" w:space="0" w:color="000000"/>
              <w:right w:val="single" w:sz="4" w:space="0" w:color="000000"/>
            </w:tcBorders>
            <w:shd w:val="clear" w:color="auto" w:fill="FFFFFF"/>
            <w:vAlign w:val="center"/>
          </w:tcPr>
          <w:p w14:paraId="1F0F5B68"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326958" w14:textId="77777777" w:rsidR="00271E7E" w:rsidRDefault="00000000">
            <w:pPr>
              <w:pStyle w:val="a0"/>
              <w:spacing w:after="62"/>
              <w:rPr>
                <w:rFonts w:hint="eastAsia"/>
              </w:rPr>
            </w:pPr>
            <w:r>
              <w:t>温湿度控制不精准</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001029" w14:textId="77777777" w:rsidR="00271E7E" w:rsidRDefault="00000000">
            <w:pPr>
              <w:pStyle w:val="a0"/>
              <w:spacing w:after="62"/>
              <w:rPr>
                <w:rFonts w:hint="eastAsia"/>
              </w:rPr>
            </w:pPr>
            <w:r>
              <w:t>70.91%</w:t>
            </w:r>
          </w:p>
        </w:tc>
      </w:tr>
      <w:tr w:rsidR="00271E7E" w14:paraId="5C3869E8" w14:textId="77777777">
        <w:trPr>
          <w:tblCellSpacing w:w="15" w:type="dxa"/>
        </w:trPr>
        <w:tc>
          <w:tcPr>
            <w:tcW w:w="975" w:type="pct"/>
            <w:vMerge/>
            <w:tcBorders>
              <w:left w:val="single" w:sz="4" w:space="0" w:color="000000"/>
              <w:bottom w:val="single" w:sz="4" w:space="0" w:color="000000"/>
              <w:right w:val="single" w:sz="4" w:space="0" w:color="000000"/>
            </w:tcBorders>
            <w:shd w:val="clear" w:color="auto" w:fill="FFFFFF"/>
            <w:vAlign w:val="center"/>
          </w:tcPr>
          <w:p w14:paraId="4979F31F"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70BAB6" w14:textId="77777777" w:rsidR="00271E7E" w:rsidRDefault="00000000">
            <w:pPr>
              <w:pStyle w:val="a0"/>
              <w:spacing w:after="62"/>
              <w:rPr>
                <w:rFonts w:hint="eastAsia"/>
              </w:rPr>
            </w:pPr>
            <w:r>
              <w:t>浇水凭经验</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B7B8C7" w14:textId="77777777" w:rsidR="00271E7E" w:rsidRDefault="00000000">
            <w:pPr>
              <w:pStyle w:val="a0"/>
              <w:spacing w:after="62"/>
              <w:rPr>
                <w:rFonts w:hint="eastAsia"/>
              </w:rPr>
            </w:pPr>
            <w:r>
              <w:t>78.18%</w:t>
            </w:r>
          </w:p>
        </w:tc>
      </w:tr>
      <w:tr w:rsidR="00271E7E" w14:paraId="224D10FE" w14:textId="77777777">
        <w:trPr>
          <w:tblCellSpacing w:w="15" w:type="dxa"/>
        </w:trPr>
        <w:tc>
          <w:tcPr>
            <w:tcW w:w="975" w:type="pct"/>
            <w:vMerge w:val="restart"/>
            <w:tcBorders>
              <w:top w:val="single" w:sz="4" w:space="0" w:color="000000"/>
              <w:left w:val="single" w:sz="4" w:space="0" w:color="000000"/>
              <w:right w:val="single" w:sz="4" w:space="0" w:color="000000"/>
            </w:tcBorders>
            <w:shd w:val="clear" w:color="auto" w:fill="FFFFFF"/>
            <w:vAlign w:val="center"/>
          </w:tcPr>
          <w:p w14:paraId="7B43CB49" w14:textId="77777777" w:rsidR="00271E7E" w:rsidRDefault="00000000">
            <w:pPr>
              <w:pStyle w:val="a0"/>
              <w:spacing w:after="62"/>
              <w:rPr>
                <w:rFonts w:hint="eastAsia"/>
              </w:rPr>
            </w:pPr>
            <w:r>
              <w:t>技术采纳意愿</w:t>
            </w:r>
          </w:p>
          <w:p w14:paraId="72DA9FD6"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32B95F" w14:textId="77777777" w:rsidR="00271E7E" w:rsidRDefault="00000000">
            <w:pPr>
              <w:pStyle w:val="a0"/>
              <w:spacing w:after="62"/>
              <w:rPr>
                <w:rFonts w:hint="eastAsia"/>
              </w:rPr>
            </w:pPr>
            <w:r>
              <w:t>愿意尝试智能灌溉</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FE4940" w14:textId="77777777" w:rsidR="00271E7E" w:rsidRDefault="00000000">
            <w:pPr>
              <w:pStyle w:val="a0"/>
              <w:spacing w:after="62"/>
              <w:rPr>
                <w:rFonts w:hint="eastAsia"/>
              </w:rPr>
            </w:pPr>
            <w:r>
              <w:t>50.91%（中性 38.18%）</w:t>
            </w:r>
          </w:p>
        </w:tc>
      </w:tr>
      <w:tr w:rsidR="00271E7E" w14:paraId="5A1A8968" w14:textId="77777777">
        <w:trPr>
          <w:tblCellSpacing w:w="15" w:type="dxa"/>
        </w:trPr>
        <w:tc>
          <w:tcPr>
            <w:tcW w:w="975" w:type="pct"/>
            <w:vMerge/>
            <w:tcBorders>
              <w:left w:val="single" w:sz="4" w:space="0" w:color="000000"/>
              <w:right w:val="single" w:sz="4" w:space="0" w:color="000000"/>
            </w:tcBorders>
            <w:shd w:val="clear" w:color="auto" w:fill="FFFFFF"/>
            <w:vAlign w:val="center"/>
          </w:tcPr>
          <w:p w14:paraId="0191939A"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D83EAE" w14:textId="77777777" w:rsidR="00271E7E" w:rsidRDefault="00000000">
            <w:pPr>
              <w:pStyle w:val="a0"/>
              <w:spacing w:after="62"/>
              <w:rPr>
                <w:rFonts w:hint="eastAsia"/>
              </w:rPr>
            </w:pPr>
            <w:r>
              <w:t>强烈担忧故障风险</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E97AD8" w14:textId="77777777" w:rsidR="00271E7E" w:rsidRDefault="00000000">
            <w:pPr>
              <w:pStyle w:val="a0"/>
              <w:spacing w:after="62"/>
              <w:rPr>
                <w:rFonts w:hint="eastAsia"/>
              </w:rPr>
            </w:pPr>
            <w:r>
              <w:t>85.45%</w:t>
            </w:r>
          </w:p>
        </w:tc>
      </w:tr>
      <w:tr w:rsidR="00271E7E" w14:paraId="677AE9C4" w14:textId="77777777">
        <w:trPr>
          <w:tblCellSpacing w:w="15" w:type="dxa"/>
        </w:trPr>
        <w:tc>
          <w:tcPr>
            <w:tcW w:w="975" w:type="pct"/>
            <w:vMerge/>
            <w:tcBorders>
              <w:left w:val="single" w:sz="4" w:space="0" w:color="000000"/>
              <w:bottom w:val="single" w:sz="4" w:space="0" w:color="000000"/>
              <w:right w:val="single" w:sz="4" w:space="0" w:color="000000"/>
            </w:tcBorders>
            <w:shd w:val="clear" w:color="auto" w:fill="FFFFFF"/>
            <w:vAlign w:val="center"/>
          </w:tcPr>
          <w:p w14:paraId="47164BEC" w14:textId="77777777" w:rsidR="00271E7E" w:rsidRDefault="00271E7E">
            <w:pPr>
              <w:pStyle w:val="a0"/>
              <w:spacing w:after="62"/>
              <w:rPr>
                <w:rFonts w:hint="eastAsia"/>
              </w:rPr>
            </w:pPr>
          </w:p>
        </w:tc>
        <w:tc>
          <w:tcPr>
            <w:tcW w:w="14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6B8137" w14:textId="77777777" w:rsidR="00271E7E" w:rsidRDefault="00000000">
            <w:pPr>
              <w:pStyle w:val="a0"/>
              <w:spacing w:after="62"/>
              <w:rPr>
                <w:rFonts w:hint="eastAsia"/>
              </w:rPr>
            </w:pPr>
            <w:r>
              <w:t>受成功案例影响大</w:t>
            </w:r>
          </w:p>
        </w:tc>
        <w:tc>
          <w:tcPr>
            <w:tcW w:w="25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48E4B5" w14:textId="77777777" w:rsidR="00271E7E" w:rsidRDefault="00000000">
            <w:pPr>
              <w:pStyle w:val="a0"/>
              <w:spacing w:after="62"/>
              <w:rPr>
                <w:rFonts w:hint="eastAsia"/>
              </w:rPr>
            </w:pPr>
            <w:r>
              <w:t>67.28%</w:t>
            </w:r>
          </w:p>
        </w:tc>
      </w:tr>
    </w:tbl>
    <w:p w14:paraId="7166E143" w14:textId="77777777" w:rsidR="00271E7E" w:rsidRDefault="00271E7E">
      <w:pPr>
        <w:spacing w:after="62"/>
        <w:ind w:firstLineChars="0" w:firstLine="0"/>
        <w:rPr>
          <w:rFonts w:hint="eastAsia"/>
        </w:rPr>
      </w:pPr>
    </w:p>
    <w:p w14:paraId="12DCB81C" w14:textId="77777777" w:rsidR="00271E7E" w:rsidRDefault="00000000">
      <w:pPr>
        <w:pStyle w:val="3"/>
        <w:spacing w:before="156" w:after="62"/>
        <w:rPr>
          <w:rFonts w:hint="eastAsia"/>
        </w:rPr>
      </w:pPr>
      <w:r>
        <w:rPr>
          <w:rFonts w:hint="eastAsia"/>
        </w:rPr>
        <w:t>种植主体画像：经验足，但知识结构偏传统</w:t>
      </w:r>
    </w:p>
    <w:p w14:paraId="388FCBE3" w14:textId="77777777" w:rsidR="00271E7E" w:rsidRDefault="00271E7E">
      <w:pPr>
        <w:spacing w:after="62"/>
        <w:rPr>
          <w:rFonts w:hint="eastAsia"/>
        </w:rPr>
      </w:pPr>
    </w:p>
    <w:p w14:paraId="7F8D8267" w14:textId="77777777" w:rsidR="00271E7E" w:rsidRDefault="00000000">
      <w:pPr>
        <w:spacing w:after="62"/>
        <w:rPr>
          <w:rFonts w:hint="eastAsia"/>
        </w:rPr>
      </w:pPr>
      <w:r>
        <w:rPr>
          <w:rFonts w:hint="eastAsia"/>
        </w:rPr>
        <w:t>本次样本显示，草莓种植主体以 41–50 岁为主（占比 40%），且大多拥有较为稳定的从业经验（4–10 年经验者 78.18%，新手仅 3.64%）。这类群体并非缺乏种植能力，</w:t>
      </w:r>
      <w:r>
        <w:rPr>
          <w:rFonts w:hint="eastAsia"/>
        </w:rPr>
        <w:lastRenderedPageBreak/>
        <w:t>而是长期依赖经验形成固定决策模式，面对新技术时更关注“是否真能省事、是否可靠、是否值得学习”。其背后痛点在于：学习成本高、试错成本更高——一旦操作失误或设备不稳定，就可能直接影响一季收入，因此对新技术呈现“谨慎观望”的典型特征。</w:t>
      </w:r>
    </w:p>
    <w:p w14:paraId="72D0996F" w14:textId="77777777" w:rsidR="00271E7E" w:rsidRDefault="00000000">
      <w:pPr>
        <w:pStyle w:val="3"/>
        <w:spacing w:before="156" w:after="62"/>
        <w:rPr>
          <w:rFonts w:hint="eastAsia"/>
        </w:rPr>
      </w:pPr>
      <w:r>
        <w:rPr>
          <w:rFonts w:hint="eastAsia"/>
        </w:rPr>
        <w:t>技术应用困境：培训缺失 + 维护难，成为最大阻力</w:t>
      </w:r>
    </w:p>
    <w:p w14:paraId="479B2671" w14:textId="77777777" w:rsidR="00271E7E" w:rsidRDefault="00000000">
      <w:pPr>
        <w:spacing w:after="62"/>
        <w:rPr>
          <w:rFonts w:hint="eastAsia"/>
        </w:rPr>
      </w:pPr>
      <w:r>
        <w:rPr>
          <w:rFonts w:hint="eastAsia"/>
        </w:rPr>
        <w:t>调查中，72.73% 的农户缺乏系统培训，72.72% 认为设备操作维护困难，67.27% 直言智能设备复杂、学习成本高。表面上是“不会用”，本质上是缺乏可持续使用的保障体系：既没有清晰易懂的指导，也缺少故障排查与维护支持，导致农户担心“买了用不上、用了出问题、坏了没人管”。因此他们不是不需要智能化，而是被“复杂性 + 不确定性”劝退，形成“想用但不敢用”的心理门槛。</w:t>
      </w:r>
    </w:p>
    <w:p w14:paraId="261EA547" w14:textId="77777777" w:rsidR="00271E7E" w:rsidRDefault="00000000">
      <w:pPr>
        <w:pStyle w:val="3"/>
        <w:spacing w:before="156" w:after="62"/>
        <w:rPr>
          <w:rFonts w:hint="eastAsia"/>
        </w:rPr>
      </w:pPr>
      <w:r>
        <w:rPr>
          <w:rFonts w:hint="eastAsia"/>
        </w:rPr>
        <w:t>生产核心难题：高频痛点集中爆发，根因是管理缺乏标准化</w:t>
      </w:r>
    </w:p>
    <w:p w14:paraId="00B761AC" w14:textId="77777777" w:rsidR="00271E7E" w:rsidRDefault="00000000">
      <w:pPr>
        <w:spacing w:after="62"/>
        <w:rPr>
          <w:rFonts w:hint="eastAsia"/>
        </w:rPr>
      </w:pPr>
      <w:r>
        <w:rPr>
          <w:rFonts w:hint="eastAsia"/>
        </w:rPr>
        <w:t>生产环节的痛点高度集中：草莓苗质量问题与病害识别困难均达 76.36%，肥料配比难 74.55%，土壤连作障碍 70.91%，温湿度控制不精准 70.91%，浇水依赖经验更高达 78.18%。这些问题并非单点技术缺陷，而是共同指向同一根因：环境调控与生产决策缺乏标准化、可量化的依据，导致管理高度依赖经验与感觉，遇到气候波动、苗情差异或病害风险时，往往反应滞后、调整粗放，最终体现为产量和口感品质的不稳定。</w:t>
      </w:r>
    </w:p>
    <w:p w14:paraId="162AC4E6" w14:textId="77777777" w:rsidR="00271E7E" w:rsidRDefault="00000000">
      <w:pPr>
        <w:pStyle w:val="3"/>
        <w:spacing w:before="156" w:after="62"/>
        <w:rPr>
          <w:rFonts w:hint="eastAsia"/>
        </w:rPr>
      </w:pPr>
      <w:r>
        <w:rPr>
          <w:rFonts w:hint="eastAsia"/>
        </w:rPr>
        <w:t>技术采纳意愿：意愿存在，但风险顾虑压倒行动</w:t>
      </w:r>
    </w:p>
    <w:p w14:paraId="01D074FD" w14:textId="77777777" w:rsidR="00271E7E" w:rsidRDefault="00000000">
      <w:pPr>
        <w:spacing w:after="62"/>
        <w:rPr>
          <w:rFonts w:hint="eastAsia"/>
        </w:rPr>
      </w:pPr>
      <w:r>
        <w:rPr>
          <w:rFonts w:hint="eastAsia"/>
        </w:rPr>
        <w:t>尽管 50.91% 的农户愿意尝试智能灌溉，但仍有 38.18% 保持中性观望；与此同时，85.45% 对故障风险高度担忧，且 67.28% 明确表示会受到周边成功案例影响。说明该群体并不排斥智能化，甚至有明确升级动机，但其决策机制极其务实：先看是否可靠、是否容易用、是否有人用成功。背后痛点是“可用性与风险控制缺位”——只有当方案具备低门槛上手、效果可见、故障可控并通过样板案例建立信任，才能推动从“意愿”真正转化为“行动”。</w:t>
      </w:r>
    </w:p>
    <w:p w14:paraId="3524CD30" w14:textId="77777777" w:rsidR="00271E7E" w:rsidRDefault="00000000">
      <w:pPr>
        <w:pStyle w:val="3"/>
        <w:spacing w:before="156" w:after="62"/>
        <w:rPr>
          <w:rFonts w:hint="eastAsia"/>
        </w:rPr>
      </w:pPr>
      <w:r>
        <w:t>实地走访：气候异常让“控温”成为今年的关键变量</w:t>
      </w:r>
    </w:p>
    <w:p w14:paraId="5FE08045" w14:textId="77777777" w:rsidR="00271E7E" w:rsidRDefault="00000000">
      <w:pPr>
        <w:spacing w:after="62"/>
        <w:rPr>
          <w:rFonts w:hint="eastAsia"/>
        </w:rPr>
      </w:pPr>
      <w:r>
        <w:t>我们走访了宁波三家草莓种植基地，听到最多的一句话是：“今年的草莓难种啊。”多位种植户反映：受气候影响，草莓关键生长期温度普遍偏高，导致种植周期缩短、成熟加速、口感下降、管理压力显著上升。这进一步说明：在气候波动成为常态的背景下，传统依赖经验的管理方式难以稳定应对，“精准监测 + 智能调控”的需求正在从“可选项”转为“刚需”。</w:t>
      </w:r>
    </w:p>
    <w:p w14:paraId="42A5B763" w14:textId="77777777" w:rsidR="00271E7E" w:rsidRDefault="00000000">
      <w:pPr>
        <w:pStyle w:val="2"/>
        <w:spacing w:before="156" w:after="62" w:line="240" w:lineRule="auto"/>
        <w:rPr>
          <w:rFonts w:hint="eastAsia"/>
        </w:rPr>
      </w:pPr>
      <w:bookmarkStart w:id="5" w:name="_Toc6450"/>
      <w:r>
        <w:lastRenderedPageBreak/>
        <w:t>目标市场</w:t>
      </w:r>
      <w:bookmarkEnd w:id="5"/>
    </w:p>
    <w:p w14:paraId="6A792ABA" w14:textId="77777777" w:rsidR="00271E7E" w:rsidRDefault="00000000">
      <w:pPr>
        <w:spacing w:after="62" w:line="240" w:lineRule="auto"/>
        <w:rPr>
          <w:rFonts w:hint="eastAsia"/>
        </w:rPr>
      </w:pPr>
      <w:r>
        <w:t>核心目标群体：全国1-15亩中小规模草莓种植户（</w:t>
      </w:r>
      <w:r>
        <w:rPr>
          <w:rFonts w:hint="eastAsia"/>
        </w:rPr>
        <w:t>占总种植群体</w:t>
      </w:r>
      <w:r>
        <w:t>70.91%），重点覆盖41-50岁有经验、面临生产瓶颈的农户。</w:t>
      </w:r>
    </w:p>
    <w:p w14:paraId="456912A3" w14:textId="77777777" w:rsidR="00271E7E" w:rsidRDefault="00000000">
      <w:pPr>
        <w:spacing w:after="62" w:line="240" w:lineRule="auto"/>
        <w:rPr>
          <w:rFonts w:hint="eastAsia"/>
        </w:rPr>
      </w:pPr>
      <w:r>
        <w:t>重点区域市场：优先布局</w:t>
      </w:r>
      <w:r>
        <w:rPr>
          <w:rFonts w:hint="eastAsia"/>
        </w:rPr>
        <w:t>江浙</w:t>
      </w:r>
      <w:r>
        <w:t>地区，后续拓展长三角、珠三角及北方设施农业集中区域。</w:t>
      </w:r>
    </w:p>
    <w:p w14:paraId="6AFCD4B9" w14:textId="77777777" w:rsidR="00271E7E" w:rsidRDefault="00000000">
      <w:pPr>
        <w:spacing w:after="62" w:line="240" w:lineRule="auto"/>
        <w:rPr>
          <w:rFonts w:hint="eastAsia"/>
        </w:rPr>
      </w:pPr>
      <w:r>
        <w:t>延伸目标市场：农业合作社、家庭农场、示范基地及科研院校，满足规模化管理、标准化生产与科研实训需求。</w:t>
      </w:r>
    </w:p>
    <w:p w14:paraId="0079B16D" w14:textId="77777777" w:rsidR="00271E7E" w:rsidRDefault="00000000">
      <w:pPr>
        <w:pStyle w:val="2"/>
        <w:spacing w:before="156" w:after="62" w:line="240" w:lineRule="auto"/>
        <w:rPr>
          <w:rFonts w:hint="eastAsia"/>
        </w:rPr>
      </w:pPr>
      <w:bookmarkStart w:id="6" w:name="_Toc11116"/>
      <w:r>
        <w:t>市场规模与增长潜力</w:t>
      </w:r>
      <w:bookmarkEnd w:id="6"/>
    </w:p>
    <w:p w14:paraId="57984B95" w14:textId="77777777" w:rsidR="00271E7E" w:rsidRDefault="00000000">
      <w:pPr>
        <w:spacing w:after="62" w:line="240" w:lineRule="auto"/>
        <w:rPr>
          <w:rFonts w:hint="eastAsia"/>
        </w:rPr>
      </w:pPr>
      <w:r>
        <w:t>我国草莓种植面积超200万亩，年产量超300万吨，按每亩智能改造投入5000-10000元计算，设备改造市场规模达100-200亿元。农户对增产（10%-20%）、品质升级、节本（20%以上）需求迫切，叠加政策补贴，市场接受度持续提升。未来5年，智慧草莓种植市场年复合增长率预计达15%-20%，并有望向其他浆果类作物延伸，增长潜力巨大。</w:t>
      </w:r>
    </w:p>
    <w:p w14:paraId="08987AAF" w14:textId="77777777" w:rsidR="00271E7E" w:rsidRDefault="00000000">
      <w:pPr>
        <w:pStyle w:val="1"/>
        <w:spacing w:before="312" w:after="62" w:line="240" w:lineRule="auto"/>
        <w:rPr>
          <w:rFonts w:hint="eastAsia"/>
        </w:rPr>
      </w:pPr>
      <w:r>
        <w:rPr>
          <w:rFonts w:hint="eastAsia"/>
        </w:rPr>
        <w:t xml:space="preserve"> </w:t>
      </w:r>
      <w:bookmarkStart w:id="7" w:name="_Toc12194"/>
      <w:r>
        <w:rPr>
          <w:rFonts w:hint="eastAsia"/>
        </w:rPr>
        <w:t xml:space="preserve">SWOT </w:t>
      </w:r>
      <w:r>
        <w:rPr>
          <w:rFonts w:hint="eastAsia"/>
        </w:rPr>
        <w:t>分析</w:t>
      </w:r>
      <w:bookmarkEnd w:id="7"/>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25"/>
        <w:gridCol w:w="3347"/>
        <w:gridCol w:w="3204"/>
      </w:tblGrid>
      <w:tr w:rsidR="00271E7E" w14:paraId="0932F0B8" w14:textId="77777777">
        <w:trPr>
          <w:trHeight w:val="800"/>
          <w:jc w:val="center"/>
        </w:trPr>
        <w:tc>
          <w:tcPr>
            <w:tcW w:w="0" w:type="auto"/>
            <w:tcBorders>
              <w:top w:val="single" w:sz="12" w:space="0" w:color="000000"/>
              <w:left w:val="single" w:sz="12" w:space="0" w:color="000000"/>
              <w:bottom w:val="single" w:sz="4" w:space="0" w:color="000000"/>
              <w:right w:val="single" w:sz="4" w:space="0" w:color="000000"/>
              <w:tl2br w:val="nil"/>
            </w:tcBorders>
            <w:shd w:val="clear" w:color="auto" w:fill="FFFFFF"/>
          </w:tcPr>
          <w:p w14:paraId="5CA74B90" w14:textId="77777777" w:rsidR="00271E7E" w:rsidRDefault="00000000">
            <w:pPr>
              <w:pStyle w:val="a0"/>
              <w:spacing w:after="62"/>
              <w:rPr>
                <w:rFonts w:hint="eastAsia"/>
              </w:rPr>
            </w:pPr>
            <w:r>
              <w:rPr>
                <w:rFonts w:hint="eastAsia"/>
              </w:rPr>
              <w:t>类别</w:t>
            </w:r>
          </w:p>
        </w:tc>
        <w:tc>
          <w:tcPr>
            <w:tcW w:w="0" w:type="auto"/>
            <w:tcBorders>
              <w:top w:val="single" w:sz="12" w:space="0" w:color="000000"/>
              <w:left w:val="single" w:sz="4" w:space="0" w:color="000000"/>
              <w:bottom w:val="single" w:sz="4" w:space="0" w:color="000000"/>
              <w:right w:val="single" w:sz="4" w:space="0" w:color="000000"/>
            </w:tcBorders>
            <w:shd w:val="clear" w:color="auto" w:fill="FFFFFF"/>
          </w:tcPr>
          <w:p w14:paraId="190AB1CD" w14:textId="77777777" w:rsidR="00271E7E" w:rsidRDefault="00000000">
            <w:pPr>
              <w:pStyle w:val="a0"/>
              <w:spacing w:after="62"/>
              <w:rPr>
                <w:rFonts w:hint="eastAsia"/>
              </w:rPr>
            </w:pPr>
            <w:r>
              <w:rPr>
                <w:rFonts w:hint="eastAsia"/>
              </w:rPr>
              <w:t>关键要素</w:t>
            </w:r>
          </w:p>
        </w:tc>
        <w:tc>
          <w:tcPr>
            <w:tcW w:w="0" w:type="auto"/>
            <w:tcBorders>
              <w:top w:val="single" w:sz="12" w:space="0" w:color="000000"/>
              <w:left w:val="single" w:sz="4" w:space="0" w:color="000000"/>
              <w:bottom w:val="single" w:sz="4" w:space="0" w:color="000000"/>
              <w:right w:val="single" w:sz="12" w:space="0" w:color="000000"/>
            </w:tcBorders>
            <w:shd w:val="clear" w:color="auto" w:fill="FFFFFF"/>
          </w:tcPr>
          <w:p w14:paraId="4A53BAD2" w14:textId="77777777" w:rsidR="00271E7E" w:rsidRDefault="00000000">
            <w:pPr>
              <w:pStyle w:val="a0"/>
              <w:spacing w:after="62"/>
              <w:rPr>
                <w:rFonts w:hint="eastAsia"/>
              </w:rPr>
            </w:pPr>
            <w:r>
              <w:rPr>
                <w:rFonts w:hint="eastAsia"/>
              </w:rPr>
              <w:t>详细描述</w:t>
            </w:r>
          </w:p>
        </w:tc>
      </w:tr>
      <w:tr w:rsidR="00271E7E" w14:paraId="22D741A3"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024981F0" w14:textId="77777777" w:rsidR="00271E7E" w:rsidRDefault="00000000">
            <w:pPr>
              <w:pStyle w:val="a0"/>
              <w:spacing w:after="62"/>
              <w:rPr>
                <w:rFonts w:hint="eastAsia"/>
              </w:rPr>
            </w:pPr>
            <w:r>
              <w:rPr>
                <w:rFonts w:hint="eastAsia"/>
              </w:rPr>
              <w:t>优势 (Strengths)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90A856A" w14:textId="77777777" w:rsidR="00271E7E" w:rsidRDefault="00000000">
            <w:pPr>
              <w:pStyle w:val="a0"/>
              <w:spacing w:after="62"/>
              <w:rPr>
                <w:rFonts w:hint="eastAsia"/>
              </w:rPr>
            </w:pPr>
            <w:r>
              <w:rPr>
                <w:rFonts w:hint="eastAsia"/>
              </w:rPr>
              <w:t>技术壁垒</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03AD1A51" w14:textId="77777777" w:rsidR="00271E7E" w:rsidRDefault="00000000">
            <w:pPr>
              <w:pStyle w:val="a0"/>
              <w:spacing w:after="62"/>
              <w:rPr>
                <w:rFonts w:hint="eastAsia"/>
              </w:rPr>
            </w:pPr>
            <w:r>
              <w:rPr>
                <w:rFonts w:hint="eastAsia"/>
              </w:rPr>
              <w:t>构建“感知-分析-控制”全闭环智能系统，融合ESP32-C3硬件模块、AS7341光谱传感器与AI光照策略引擎，精准解决光照优化等核心痛点；软件端支持多端协同，具备数据智能分析、设备协同调控、AI交互等核心能力，已获多项软件著作权，技术成果标准化落地。</w:t>
            </w:r>
          </w:p>
        </w:tc>
      </w:tr>
      <w:tr w:rsidR="00271E7E" w14:paraId="65DA297E"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36FDC423" w14:textId="77777777" w:rsidR="00271E7E" w:rsidRDefault="00000000">
            <w:pPr>
              <w:pStyle w:val="a0"/>
              <w:spacing w:after="62"/>
              <w:rPr>
                <w:rFonts w:hint="eastAsia"/>
              </w:rPr>
            </w:pPr>
            <w:r>
              <w:rPr>
                <w:rFonts w:hint="eastAsia"/>
              </w:rPr>
              <w:t>模式创新</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05A35DA" w14:textId="77777777" w:rsidR="00271E7E" w:rsidRDefault="00000000">
            <w:pPr>
              <w:pStyle w:val="a0"/>
              <w:spacing w:after="62"/>
              <w:rPr>
                <w:rFonts w:hint="eastAsia"/>
              </w:rPr>
            </w:pPr>
            <w:r>
              <w:rPr>
                <w:rFonts w:hint="eastAsia"/>
              </w:rPr>
              <w:t>采用“技术+服务+数据”的一体化解决方案，不仅提供硬件设备与软件平台，还配套标准化操作指南（SOP）、技术培训、案例示范等服务，适配中小规模农户需求；支持多大棚集中管理，可灵活扩展传感器与设备，适配生产、教学、科研等多元场景。</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5FD0BC71" w14:textId="77777777" w:rsidR="00271E7E" w:rsidRDefault="00271E7E">
            <w:pPr>
              <w:pStyle w:val="a0"/>
              <w:spacing w:after="62"/>
              <w:rPr>
                <w:rFonts w:hint="eastAsia"/>
              </w:rPr>
            </w:pPr>
          </w:p>
        </w:tc>
      </w:tr>
      <w:tr w:rsidR="00271E7E" w14:paraId="130E7351"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7D76BCEF" w14:textId="77777777" w:rsidR="00271E7E" w:rsidRDefault="00000000">
            <w:pPr>
              <w:pStyle w:val="a0"/>
              <w:spacing w:after="62"/>
              <w:rPr>
                <w:rFonts w:hint="eastAsia"/>
              </w:rPr>
            </w:pPr>
            <w:r>
              <w:rPr>
                <w:rFonts w:hint="eastAsia"/>
              </w:rPr>
              <w:t>团队实力</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F3B07D2" w14:textId="77777777" w:rsidR="00271E7E" w:rsidRDefault="00000000">
            <w:pPr>
              <w:pStyle w:val="a0"/>
              <w:spacing w:after="62"/>
              <w:rPr>
                <w:rFonts w:hint="eastAsia"/>
              </w:rPr>
            </w:pPr>
            <w:r>
              <w:rPr>
                <w:rFonts w:hint="eastAsia"/>
              </w:rPr>
              <w:t>隶属于宁波城市职业技术学院，形成“导师引领+学生实操”的复合型团队，覆盖物联网、人工智能等专业，具备技术研发、系统优化与场景落地</w:t>
            </w:r>
            <w:r>
              <w:rPr>
                <w:rFonts w:hint="eastAsia"/>
              </w:rPr>
              <w:lastRenderedPageBreak/>
              <w:t>全链条能力；已与湖州市迁奕软件科技、宁波中易电子科技等企业达成合作，实现产学研高效联动。</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26A7EBD1" w14:textId="77777777" w:rsidR="00271E7E" w:rsidRDefault="00271E7E">
            <w:pPr>
              <w:pStyle w:val="a0"/>
              <w:spacing w:after="62"/>
              <w:rPr>
                <w:rFonts w:hint="eastAsia"/>
              </w:rPr>
            </w:pPr>
          </w:p>
        </w:tc>
      </w:tr>
      <w:tr w:rsidR="00271E7E" w14:paraId="08E12239"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2C6A9B5B" w14:textId="77777777" w:rsidR="00271E7E" w:rsidRDefault="00000000">
            <w:pPr>
              <w:pStyle w:val="a0"/>
              <w:spacing w:after="62"/>
              <w:rPr>
                <w:rFonts w:hint="eastAsia"/>
              </w:rPr>
            </w:pPr>
            <w:r>
              <w:rPr>
                <w:rFonts w:hint="eastAsia"/>
              </w:rPr>
              <w:t>成本优势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0D6BCFD" w14:textId="77777777" w:rsidR="00271E7E" w:rsidRDefault="00000000">
            <w:pPr>
              <w:pStyle w:val="a0"/>
              <w:spacing w:after="62"/>
              <w:rPr>
                <w:rFonts w:hint="eastAsia"/>
              </w:rPr>
            </w:pPr>
            <w:r>
              <w:rPr>
                <w:rFonts w:hint="eastAsia"/>
              </w:rPr>
              <w:t>采用平台化架构设计与开源技术框架（如Flask、Next.js），降低研发与维护成本；硬件选型兼顾性能与性价比，适配中小规模农户预算；通过规模化部署与供应链整合，可进一步降低设备采购与服务成本。</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191D01F7" w14:textId="77777777" w:rsidR="00271E7E" w:rsidRDefault="00271E7E">
            <w:pPr>
              <w:pStyle w:val="a0"/>
              <w:spacing w:after="62"/>
              <w:rPr>
                <w:rFonts w:hint="eastAsia"/>
              </w:rPr>
            </w:pPr>
          </w:p>
        </w:tc>
      </w:tr>
      <w:tr w:rsidR="00271E7E" w14:paraId="5FD472F8"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3FEA8EBE" w14:textId="77777777" w:rsidR="00271E7E" w:rsidRDefault="00000000">
            <w:pPr>
              <w:pStyle w:val="a0"/>
              <w:spacing w:after="62"/>
              <w:rPr>
                <w:rFonts w:hint="eastAsia"/>
              </w:rPr>
            </w:pPr>
            <w:r>
              <w:rPr>
                <w:rFonts w:hint="eastAsia"/>
              </w:rPr>
              <w:t>劣势 (Weaknesses)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472E50B" w14:textId="77777777" w:rsidR="00271E7E" w:rsidRDefault="00000000">
            <w:pPr>
              <w:pStyle w:val="a0"/>
              <w:spacing w:after="62"/>
              <w:rPr>
                <w:rFonts w:hint="eastAsia"/>
              </w:rPr>
            </w:pPr>
            <w:r>
              <w:rPr>
                <w:rFonts w:hint="eastAsia"/>
              </w:rPr>
              <w:t>市场教育成本高，农户认知不足</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66C99E8D" w14:textId="77777777" w:rsidR="00271E7E" w:rsidRDefault="00000000">
            <w:pPr>
              <w:pStyle w:val="a0"/>
              <w:spacing w:after="62"/>
              <w:rPr>
                <w:rFonts w:hint="eastAsia"/>
              </w:rPr>
            </w:pPr>
            <w:r>
              <w:rPr>
                <w:rFonts w:hint="eastAsia"/>
              </w:rPr>
              <w:t>农户长期依赖传统种植经验，对智能种植技术的信任度与接受度有限，需投入大量资源进行市场推广、技术培训与案例示范，市场教育周期较长。</w:t>
            </w:r>
          </w:p>
        </w:tc>
      </w:tr>
      <w:tr w:rsidR="00271E7E" w14:paraId="29EE0DF4"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744B7593" w14:textId="77777777" w:rsidR="00271E7E" w:rsidRDefault="00000000">
            <w:pPr>
              <w:pStyle w:val="a0"/>
              <w:spacing w:after="62"/>
              <w:rPr>
                <w:rFonts w:hint="eastAsia"/>
              </w:rPr>
            </w:pPr>
            <w:r>
              <w:rPr>
                <w:rFonts w:hint="eastAsia"/>
              </w:rPr>
              <w:t>重资产投入，繁育工厂建设门槛高</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DEA6E4F" w14:textId="77777777" w:rsidR="00271E7E" w:rsidRDefault="00000000">
            <w:pPr>
              <w:pStyle w:val="a0"/>
              <w:spacing w:after="62"/>
              <w:rPr>
                <w:rFonts w:hint="eastAsia"/>
              </w:rPr>
            </w:pPr>
            <w:r>
              <w:rPr>
                <w:rFonts w:hint="eastAsia"/>
              </w:rPr>
              <w:t>若延伸至草莓苗繁育环节，需投入重资产建设标准化繁育工厂，面临土地、资金、技术等多重门槛，短期内难以快速落地。</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7596815F" w14:textId="77777777" w:rsidR="00271E7E" w:rsidRDefault="00271E7E">
            <w:pPr>
              <w:pStyle w:val="a0"/>
              <w:spacing w:after="62"/>
              <w:rPr>
                <w:rFonts w:hint="eastAsia"/>
              </w:rPr>
            </w:pPr>
          </w:p>
        </w:tc>
      </w:tr>
      <w:tr w:rsidR="00271E7E" w14:paraId="58647992"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2C9A079C" w14:textId="77777777" w:rsidR="00271E7E" w:rsidRDefault="00000000">
            <w:pPr>
              <w:pStyle w:val="a0"/>
              <w:spacing w:after="62"/>
              <w:rPr>
                <w:rFonts w:hint="eastAsia"/>
              </w:rPr>
            </w:pPr>
            <w:r>
              <w:rPr>
                <w:rFonts w:hint="eastAsia"/>
              </w:rPr>
              <w:t>区域适配需针对性优化</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C22A777" w14:textId="77777777" w:rsidR="00271E7E" w:rsidRDefault="00000000">
            <w:pPr>
              <w:pStyle w:val="a0"/>
              <w:spacing w:after="62"/>
              <w:rPr>
                <w:rFonts w:hint="eastAsia"/>
              </w:rPr>
            </w:pPr>
            <w:r>
              <w:rPr>
                <w:rFonts w:hint="eastAsia"/>
              </w:rPr>
              <w:t>不同地区气候条件、土壤特性、品种差异较大，系统需进行区域化参数调整与功能优化，增加了技术适配与维护成本。</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487F581F" w14:textId="77777777" w:rsidR="00271E7E" w:rsidRDefault="00271E7E">
            <w:pPr>
              <w:pStyle w:val="a0"/>
              <w:spacing w:after="62"/>
              <w:rPr>
                <w:rFonts w:hint="eastAsia"/>
              </w:rPr>
            </w:pPr>
          </w:p>
        </w:tc>
      </w:tr>
      <w:tr w:rsidR="00271E7E" w14:paraId="7140C42C"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2198CDDA" w14:textId="77777777" w:rsidR="00271E7E" w:rsidRDefault="00000000">
            <w:pPr>
              <w:pStyle w:val="a0"/>
              <w:spacing w:after="62"/>
              <w:rPr>
                <w:rFonts w:hint="eastAsia"/>
              </w:rPr>
            </w:pPr>
            <w:r>
              <w:rPr>
                <w:rFonts w:hint="eastAsia"/>
              </w:rPr>
              <w:t>专业服务依赖核心团队</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E1DE8AD" w14:textId="77777777" w:rsidR="00271E7E" w:rsidRDefault="00000000">
            <w:pPr>
              <w:pStyle w:val="a0"/>
              <w:spacing w:after="62"/>
              <w:rPr>
                <w:rFonts w:hint="eastAsia"/>
              </w:rPr>
            </w:pPr>
            <w:r>
              <w:rPr>
                <w:rFonts w:hint="eastAsia"/>
              </w:rPr>
              <w:t>项目初期的技术培训、系统调试、问题排查等专业服务高度依赖核心团队，服务覆盖范围与响应效率受限，难以快速支撑大规模市场扩张。</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5C7435CC" w14:textId="77777777" w:rsidR="00271E7E" w:rsidRDefault="00271E7E">
            <w:pPr>
              <w:pStyle w:val="a0"/>
              <w:spacing w:after="62"/>
              <w:rPr>
                <w:rFonts w:hint="eastAsia"/>
              </w:rPr>
            </w:pPr>
          </w:p>
        </w:tc>
      </w:tr>
      <w:tr w:rsidR="00271E7E" w14:paraId="025C127A"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5CB2CFDB" w14:textId="77777777" w:rsidR="00271E7E" w:rsidRDefault="00000000">
            <w:pPr>
              <w:pStyle w:val="a0"/>
              <w:spacing w:after="62"/>
              <w:rPr>
                <w:rFonts w:hint="eastAsia"/>
              </w:rPr>
            </w:pPr>
            <w:r>
              <w:rPr>
                <w:rFonts w:hint="eastAsia"/>
              </w:rPr>
              <w:t>机会 (Opportunities)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2DCF8C6" w14:textId="77777777" w:rsidR="00271E7E" w:rsidRDefault="00000000">
            <w:pPr>
              <w:pStyle w:val="a0"/>
              <w:spacing w:after="62"/>
              <w:rPr>
                <w:rFonts w:hint="eastAsia"/>
              </w:rPr>
            </w:pPr>
            <w:r>
              <w:rPr>
                <w:rFonts w:hint="eastAsia"/>
              </w:rPr>
              <w:t>政策红利</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02409335" w14:textId="77777777" w:rsidR="00271E7E" w:rsidRDefault="00000000">
            <w:pPr>
              <w:pStyle w:val="a0"/>
              <w:spacing w:after="62"/>
              <w:rPr>
                <w:rFonts w:hint="eastAsia"/>
              </w:rPr>
            </w:pPr>
            <w:r>
              <w:rPr>
                <w:rFonts w:hint="eastAsia"/>
              </w:rPr>
              <w:t>国家大力支持智慧农业、精准农业发展，各地出台设备补贴、示范基地建设扶持等政策，为项目落地提供政策支持与资金保障。</w:t>
            </w:r>
          </w:p>
        </w:tc>
      </w:tr>
      <w:tr w:rsidR="00271E7E" w14:paraId="7F29E269"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213D8AF8" w14:textId="77777777" w:rsidR="00271E7E" w:rsidRDefault="00000000">
            <w:pPr>
              <w:pStyle w:val="a0"/>
              <w:spacing w:after="62"/>
              <w:rPr>
                <w:rFonts w:hint="eastAsia"/>
              </w:rPr>
            </w:pPr>
            <w:r>
              <w:rPr>
                <w:rFonts w:hint="eastAsia"/>
              </w:rPr>
              <w:t>消费升级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10922DB" w14:textId="77777777" w:rsidR="00271E7E" w:rsidRDefault="00000000">
            <w:pPr>
              <w:pStyle w:val="a0"/>
              <w:spacing w:after="62"/>
              <w:rPr>
                <w:rFonts w:hint="eastAsia"/>
              </w:rPr>
            </w:pPr>
            <w:r>
              <w:rPr>
                <w:rFonts w:hint="eastAsia"/>
              </w:rPr>
              <w:t>消费者对优质、安全、标准化草莓的需求持续增长，农户对产量提升与品质升级的诉求迫切，为智能种植解决方案创造了广阔市场需求。</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668B0ACA" w14:textId="77777777" w:rsidR="00271E7E" w:rsidRDefault="00271E7E">
            <w:pPr>
              <w:pStyle w:val="a0"/>
              <w:spacing w:after="62"/>
              <w:rPr>
                <w:rFonts w:hint="eastAsia"/>
              </w:rPr>
            </w:pPr>
          </w:p>
        </w:tc>
      </w:tr>
      <w:tr w:rsidR="00271E7E" w14:paraId="40641797"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04DFE017" w14:textId="77777777" w:rsidR="00271E7E" w:rsidRDefault="00000000">
            <w:pPr>
              <w:pStyle w:val="a0"/>
              <w:spacing w:after="62"/>
              <w:rPr>
                <w:rFonts w:hint="eastAsia"/>
              </w:rPr>
            </w:pPr>
            <w:r>
              <w:rPr>
                <w:rFonts w:hint="eastAsia"/>
              </w:rPr>
              <w:t>技术迭代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BA49545" w14:textId="77777777" w:rsidR="00271E7E" w:rsidRDefault="00000000">
            <w:pPr>
              <w:pStyle w:val="a0"/>
              <w:spacing w:after="62"/>
              <w:rPr>
                <w:rFonts w:hint="eastAsia"/>
              </w:rPr>
            </w:pPr>
            <w:r>
              <w:rPr>
                <w:rFonts w:hint="eastAsia"/>
              </w:rPr>
              <w:t>物联网、人工智能、传感器技术快速发展，硬件成本持续降低、性能不断提升，为系统优化升级与成本控制提</w:t>
            </w:r>
            <w:r>
              <w:rPr>
                <w:rFonts w:hint="eastAsia"/>
              </w:rPr>
              <w:lastRenderedPageBreak/>
              <w:t>供了技术支撑。</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13FF336A" w14:textId="77777777" w:rsidR="00271E7E" w:rsidRDefault="00271E7E">
            <w:pPr>
              <w:pStyle w:val="a0"/>
              <w:spacing w:after="62"/>
              <w:rPr>
                <w:rFonts w:hint="eastAsia"/>
              </w:rPr>
            </w:pPr>
          </w:p>
        </w:tc>
      </w:tr>
      <w:tr w:rsidR="00271E7E" w14:paraId="59FCC9DD"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5AE9CA87" w14:textId="77777777" w:rsidR="00271E7E" w:rsidRDefault="00000000">
            <w:pPr>
              <w:pStyle w:val="a0"/>
              <w:spacing w:after="62"/>
              <w:rPr>
                <w:rFonts w:hint="eastAsia"/>
              </w:rPr>
            </w:pPr>
            <w:r>
              <w:rPr>
                <w:rFonts w:hint="eastAsia"/>
              </w:rPr>
              <w:t>国际拓展</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60B929B" w14:textId="77777777" w:rsidR="00271E7E" w:rsidRDefault="00000000">
            <w:pPr>
              <w:pStyle w:val="a0"/>
              <w:spacing w:after="62"/>
              <w:rPr>
                <w:rFonts w:hint="eastAsia"/>
              </w:rPr>
            </w:pPr>
            <w:r>
              <w:rPr>
                <w:rFonts w:hint="eastAsia"/>
              </w:rPr>
              <w:t>“一带一路”倡议推动农业技术出海，我国草莓种植技术与智能装备在国际市场具备竞争力，为项目后期全球布局提供了机遇。</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15041DED" w14:textId="77777777" w:rsidR="00271E7E" w:rsidRDefault="00271E7E">
            <w:pPr>
              <w:pStyle w:val="a0"/>
              <w:spacing w:after="62"/>
              <w:rPr>
                <w:rFonts w:hint="eastAsia"/>
              </w:rPr>
            </w:pPr>
          </w:p>
        </w:tc>
      </w:tr>
      <w:tr w:rsidR="00271E7E" w14:paraId="22F0FD78"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51D90909" w14:textId="77777777" w:rsidR="00271E7E" w:rsidRDefault="00000000">
            <w:pPr>
              <w:pStyle w:val="a0"/>
              <w:spacing w:after="62"/>
              <w:rPr>
                <w:rFonts w:hint="eastAsia"/>
              </w:rPr>
            </w:pPr>
            <w:r>
              <w:rPr>
                <w:rFonts w:hint="eastAsia"/>
              </w:rPr>
              <w:t>威胁 (Threats)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E3C91BD" w14:textId="77777777" w:rsidR="00271E7E" w:rsidRDefault="00000000">
            <w:pPr>
              <w:pStyle w:val="a0"/>
              <w:spacing w:after="62"/>
              <w:rPr>
                <w:rFonts w:hint="eastAsia"/>
              </w:rPr>
            </w:pPr>
            <w:r>
              <w:rPr>
                <w:rFonts w:hint="eastAsia"/>
              </w:rPr>
              <w:t>行业竞争加剧</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44AFAF9D" w14:textId="77777777" w:rsidR="00271E7E" w:rsidRDefault="00000000">
            <w:pPr>
              <w:pStyle w:val="a0"/>
              <w:spacing w:after="62"/>
              <w:rPr>
                <w:rFonts w:hint="eastAsia"/>
              </w:rPr>
            </w:pPr>
            <w:r>
              <w:rPr>
                <w:rFonts w:hint="eastAsia"/>
              </w:rPr>
              <w:t>传统农药企业、农业设备厂商纷纷布局智慧农业领域，凭借渠道优势与价格战形成竞争；同时，替代绿色防控技术不断涌现，分流市场需求。</w:t>
            </w:r>
          </w:p>
        </w:tc>
      </w:tr>
      <w:tr w:rsidR="00271E7E" w14:paraId="559637CE"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1238997F" w14:textId="77777777" w:rsidR="00271E7E" w:rsidRDefault="00000000">
            <w:pPr>
              <w:pStyle w:val="a0"/>
              <w:spacing w:after="62"/>
              <w:rPr>
                <w:rFonts w:hint="eastAsia"/>
              </w:rPr>
            </w:pPr>
            <w:r>
              <w:rPr>
                <w:rFonts w:hint="eastAsia"/>
              </w:rPr>
              <w:t>政策监管收紧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06559C2" w14:textId="77777777" w:rsidR="00271E7E" w:rsidRDefault="00000000">
            <w:pPr>
              <w:pStyle w:val="a0"/>
              <w:spacing w:after="62"/>
              <w:rPr>
                <w:rFonts w:hint="eastAsia"/>
              </w:rPr>
            </w:pPr>
            <w:r>
              <w:rPr>
                <w:rFonts w:hint="eastAsia"/>
              </w:rPr>
              <w:t>生物安全监管、农药使用标准、数据安全法规等政策不断收紧，若系统不符合相关监管要求，可能面临合规风险。</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6B3118ED" w14:textId="77777777" w:rsidR="00271E7E" w:rsidRDefault="00271E7E">
            <w:pPr>
              <w:pStyle w:val="a0"/>
              <w:spacing w:after="62"/>
              <w:rPr>
                <w:rFonts w:hint="eastAsia"/>
              </w:rPr>
            </w:pPr>
          </w:p>
        </w:tc>
      </w:tr>
      <w:tr w:rsidR="00271E7E" w14:paraId="4FFE1A5D" w14:textId="77777777">
        <w:trPr>
          <w:trHeight w:val="800"/>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Pr>
          <w:p w14:paraId="7EE7AF7A" w14:textId="77777777" w:rsidR="00271E7E" w:rsidRDefault="00000000">
            <w:pPr>
              <w:pStyle w:val="a0"/>
              <w:spacing w:after="62"/>
              <w:rPr>
                <w:rFonts w:hint="eastAsia"/>
              </w:rPr>
            </w:pPr>
            <w:r>
              <w:rPr>
                <w:rFonts w:hint="eastAsia"/>
              </w:rPr>
              <w:t>极端气候影响</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943CCC4" w14:textId="77777777" w:rsidR="00271E7E" w:rsidRDefault="00000000">
            <w:pPr>
              <w:pStyle w:val="a0"/>
              <w:spacing w:after="62"/>
              <w:rPr>
                <w:rFonts w:hint="eastAsia"/>
              </w:rPr>
            </w:pPr>
            <w:r>
              <w:rPr>
                <w:rFonts w:hint="eastAsia"/>
              </w:rPr>
              <w:t>全球气候异常导致极端天气频发，可能超出系统环境调控能力范围，影响种植效果与用户信任度。</w:t>
            </w:r>
          </w:p>
        </w:tc>
        <w:tc>
          <w:tcPr>
            <w:tcW w:w="0" w:type="auto"/>
            <w:tcBorders>
              <w:top w:val="single" w:sz="4" w:space="0" w:color="000000"/>
              <w:left w:val="single" w:sz="4" w:space="0" w:color="000000"/>
              <w:bottom w:val="single" w:sz="4" w:space="0" w:color="000000"/>
              <w:right w:val="single" w:sz="12" w:space="0" w:color="000000"/>
            </w:tcBorders>
            <w:shd w:val="clear" w:color="auto" w:fill="FFFFFF"/>
          </w:tcPr>
          <w:p w14:paraId="59132EFA" w14:textId="77777777" w:rsidR="00271E7E" w:rsidRDefault="00271E7E">
            <w:pPr>
              <w:pStyle w:val="a0"/>
              <w:spacing w:after="62"/>
              <w:rPr>
                <w:rFonts w:hint="eastAsia"/>
              </w:rPr>
            </w:pPr>
          </w:p>
        </w:tc>
      </w:tr>
      <w:tr w:rsidR="00271E7E" w14:paraId="7442FFB7" w14:textId="77777777">
        <w:trPr>
          <w:trHeight w:val="800"/>
          <w:jc w:val="center"/>
        </w:trPr>
        <w:tc>
          <w:tcPr>
            <w:tcW w:w="0" w:type="auto"/>
            <w:tcBorders>
              <w:top w:val="single" w:sz="4" w:space="0" w:color="000000"/>
              <w:left w:val="single" w:sz="12" w:space="0" w:color="000000"/>
              <w:bottom w:val="single" w:sz="12" w:space="0" w:color="000000"/>
              <w:right w:val="single" w:sz="4" w:space="0" w:color="000000"/>
            </w:tcBorders>
            <w:shd w:val="clear" w:color="auto" w:fill="FFFFFF"/>
          </w:tcPr>
          <w:p w14:paraId="6246510D" w14:textId="77777777" w:rsidR="00271E7E" w:rsidRDefault="00000000">
            <w:pPr>
              <w:pStyle w:val="a0"/>
              <w:spacing w:after="62"/>
              <w:rPr>
                <w:rFonts w:hint="eastAsia"/>
              </w:rPr>
            </w:pPr>
            <w:r>
              <w:rPr>
                <w:rFonts w:hint="eastAsia"/>
              </w:rPr>
              <w:t>技术替代风险</w:t>
            </w:r>
          </w:p>
        </w:tc>
        <w:tc>
          <w:tcPr>
            <w:tcW w:w="0" w:type="auto"/>
            <w:tcBorders>
              <w:top w:val="single" w:sz="4" w:space="0" w:color="000000"/>
              <w:left w:val="single" w:sz="4" w:space="0" w:color="000000"/>
              <w:bottom w:val="single" w:sz="12" w:space="0" w:color="000000"/>
              <w:right w:val="single" w:sz="4" w:space="0" w:color="000000"/>
            </w:tcBorders>
            <w:shd w:val="clear" w:color="auto" w:fill="FFFFFF"/>
          </w:tcPr>
          <w:p w14:paraId="3EA055CF" w14:textId="77777777" w:rsidR="00271E7E" w:rsidRDefault="00000000">
            <w:pPr>
              <w:pStyle w:val="a0"/>
              <w:spacing w:after="62"/>
              <w:rPr>
                <w:rFonts w:hint="eastAsia"/>
              </w:rPr>
            </w:pPr>
            <w:r>
              <w:rPr>
                <w:rFonts w:hint="eastAsia"/>
              </w:rPr>
              <w:t>智慧农业技术迭代速度快，若未能持续投入研发进行技术升级，可能被更先进的技术或产品替代，丧失市场竞争力。</w:t>
            </w:r>
          </w:p>
        </w:tc>
        <w:tc>
          <w:tcPr>
            <w:tcW w:w="0" w:type="auto"/>
            <w:tcBorders>
              <w:top w:val="single" w:sz="4" w:space="0" w:color="000000"/>
              <w:left w:val="single" w:sz="4" w:space="0" w:color="000000"/>
              <w:bottom w:val="single" w:sz="12" w:space="0" w:color="000000"/>
              <w:right w:val="single" w:sz="12" w:space="0" w:color="000000"/>
            </w:tcBorders>
            <w:shd w:val="clear" w:color="auto" w:fill="FFFFFF"/>
          </w:tcPr>
          <w:p w14:paraId="2808CA3B" w14:textId="77777777" w:rsidR="00271E7E" w:rsidRDefault="00271E7E">
            <w:pPr>
              <w:pStyle w:val="a0"/>
              <w:spacing w:after="62"/>
              <w:rPr>
                <w:rFonts w:hint="eastAsia"/>
              </w:rPr>
            </w:pPr>
            <w:bookmarkStart w:id="8" w:name=""/>
            <w:bookmarkEnd w:id="8"/>
          </w:p>
        </w:tc>
      </w:tr>
    </w:tbl>
    <w:p w14:paraId="4958F7DB" w14:textId="77777777" w:rsidR="00271E7E" w:rsidRDefault="00271E7E">
      <w:pPr>
        <w:spacing w:after="62"/>
        <w:ind w:firstLineChars="0" w:firstLine="0"/>
        <w:rPr>
          <w:rFonts w:hint="eastAsia"/>
        </w:rPr>
      </w:pPr>
    </w:p>
    <w:p w14:paraId="75296772" w14:textId="77777777" w:rsidR="00271E7E" w:rsidRDefault="00000000">
      <w:pPr>
        <w:pStyle w:val="1"/>
        <w:spacing w:before="312" w:after="62" w:line="240" w:lineRule="auto"/>
        <w:rPr>
          <w:rFonts w:hint="eastAsia"/>
        </w:rPr>
      </w:pPr>
      <w:bookmarkStart w:id="9" w:name="_Toc32007"/>
      <w:r>
        <w:t>解决方案</w:t>
      </w:r>
      <w:bookmarkEnd w:id="9"/>
    </w:p>
    <w:p w14:paraId="507266EA" w14:textId="77777777" w:rsidR="00271E7E" w:rsidRDefault="00000000">
      <w:pPr>
        <w:pStyle w:val="2"/>
        <w:spacing w:before="156" w:after="62"/>
        <w:rPr>
          <w:rFonts w:hint="eastAsia"/>
        </w:rPr>
      </w:pPr>
      <w:bookmarkStart w:id="10" w:name="_Toc9905"/>
      <w:r>
        <w:rPr>
          <w:rFonts w:hint="eastAsia"/>
        </w:rPr>
        <w:t>总体设计思路</w:t>
      </w:r>
      <w:bookmarkEnd w:id="10"/>
    </w:p>
    <w:p w14:paraId="4FE30B6E" w14:textId="77777777" w:rsidR="00271E7E" w:rsidRDefault="00000000">
      <w:pPr>
        <w:spacing w:after="62" w:line="240" w:lineRule="auto"/>
        <w:rPr>
          <w:rFonts w:hint="eastAsia"/>
        </w:rPr>
      </w:pPr>
      <w:r>
        <w:rPr>
          <w:rFonts w:hint="eastAsia"/>
        </w:rPr>
        <w:t>针对我国中小规模草莓种植户在生产过程中普遍存在的环境调控依赖经验、管理精细化程度不足、劳动强度高等问题，本文提出一套面向设施草莓种植场景的智能物联网解决方案。系统以“感知—分析—控制”闭环思想为总体设计主线，通过多源环境数据采集、智能决策分析与自动化设备控制，实现对草莓生长环境的持续优化调控。</w:t>
      </w:r>
    </w:p>
    <w:p w14:paraId="543A4E6E" w14:textId="77777777" w:rsidR="00271E7E" w:rsidRDefault="00000000">
      <w:pPr>
        <w:spacing w:after="62" w:line="240" w:lineRule="auto"/>
        <w:rPr>
          <w:rFonts w:hint="eastAsia"/>
        </w:rPr>
      </w:pPr>
      <w:r>
        <w:rPr>
          <w:rFonts w:hint="eastAsia"/>
        </w:rPr>
        <w:t>在总体设计上，方案强调以下原则：</w:t>
      </w:r>
    </w:p>
    <w:p w14:paraId="5BDFB923" w14:textId="77777777" w:rsidR="00271E7E" w:rsidRDefault="00000000">
      <w:pPr>
        <w:spacing w:after="62" w:line="240" w:lineRule="auto"/>
        <w:rPr>
          <w:rFonts w:hint="eastAsia"/>
        </w:rPr>
      </w:pPr>
      <w:r>
        <w:rPr>
          <w:rFonts w:hint="eastAsia"/>
        </w:rPr>
        <w:t>（问题导向性：围绕草莓生长关键环境要素展开，避免无效技术堆叠；</w:t>
      </w:r>
    </w:p>
    <w:p w14:paraId="30CE5220" w14:textId="77777777" w:rsidR="00271E7E" w:rsidRDefault="00000000">
      <w:pPr>
        <w:spacing w:after="62" w:line="240" w:lineRule="auto"/>
        <w:rPr>
          <w:rFonts w:hint="eastAsia"/>
        </w:rPr>
      </w:pPr>
      <w:r>
        <w:rPr>
          <w:rFonts w:hint="eastAsia"/>
        </w:rPr>
        <w:t>（系统可扩展性：支持多类型传感器与执行设备接入，满足不同规模应用需求；</w:t>
      </w:r>
    </w:p>
    <w:p w14:paraId="76316A5E" w14:textId="77777777" w:rsidR="00271E7E" w:rsidRDefault="00000000">
      <w:pPr>
        <w:spacing w:after="62" w:line="240" w:lineRule="auto"/>
        <w:rPr>
          <w:rFonts w:hint="eastAsia"/>
        </w:rPr>
      </w:pPr>
      <w:r>
        <w:rPr>
          <w:rFonts w:hint="eastAsia"/>
        </w:rPr>
        <w:t>（农户友好性：降低系统理解与操作门槛，提高在真实农业场景中的落地可行性。</w:t>
      </w:r>
    </w:p>
    <w:p w14:paraId="60CA82B2" w14:textId="77777777" w:rsidR="00271E7E" w:rsidRDefault="00000000">
      <w:pPr>
        <w:pStyle w:val="2"/>
        <w:spacing w:before="156" w:after="62"/>
        <w:rPr>
          <w:rFonts w:hint="eastAsia"/>
        </w:rPr>
      </w:pPr>
      <w:bookmarkStart w:id="11" w:name="_Toc21587"/>
      <w:r>
        <w:rPr>
          <w:rFonts w:hint="eastAsia"/>
        </w:rPr>
        <w:lastRenderedPageBreak/>
        <w:t>系统总体架构设计</w:t>
      </w:r>
      <w:bookmarkEnd w:id="11"/>
    </w:p>
    <w:p w14:paraId="5404CBE4" w14:textId="77777777" w:rsidR="00271E7E" w:rsidRDefault="00000000">
      <w:pPr>
        <w:spacing w:after="62"/>
        <w:jc w:val="center"/>
        <w:rPr>
          <w:rFonts w:hint="eastAsia"/>
        </w:rPr>
      </w:pPr>
      <w:r>
        <w:rPr>
          <w:rFonts w:hint="eastAsia"/>
          <w:noProof/>
        </w:rPr>
        <w:drawing>
          <wp:inline distT="0" distB="0" distL="114300" distR="114300" wp14:anchorId="5AEFDAAA" wp14:editId="3EA49F5F">
            <wp:extent cx="5268595" cy="2496185"/>
            <wp:effectExtent l="0" t="0" r="0" b="0"/>
            <wp:docPr id="20" name="图片 20" descr="stravision莓界IoT四层架构图横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travision莓界IoT四层架构图横版"/>
                    <pic:cNvPicPr>
                      <a:picLocks noChangeAspect="1"/>
                    </pic:cNvPicPr>
                  </pic:nvPicPr>
                  <pic:blipFill>
                    <a:blip r:embed="rId9"/>
                    <a:srcRect b="15116"/>
                    <a:stretch>
                      <a:fillRect/>
                    </a:stretch>
                  </pic:blipFill>
                  <pic:spPr>
                    <a:xfrm>
                      <a:off x="0" y="0"/>
                      <a:ext cx="5268595" cy="2496185"/>
                    </a:xfrm>
                    <a:prstGeom prst="rect">
                      <a:avLst/>
                    </a:prstGeom>
                  </pic:spPr>
                </pic:pic>
              </a:graphicData>
            </a:graphic>
          </wp:inline>
        </w:drawing>
      </w:r>
    </w:p>
    <w:p w14:paraId="570ED2E0" w14:textId="77777777" w:rsidR="00271E7E" w:rsidRDefault="00000000">
      <w:pPr>
        <w:pStyle w:val="3"/>
        <w:spacing w:before="156" w:after="62"/>
        <w:rPr>
          <w:rFonts w:hint="eastAsia"/>
        </w:rPr>
      </w:pPr>
      <w:r>
        <w:rPr>
          <w:rFonts w:hint="eastAsia"/>
        </w:rPr>
        <w:t>系统整体架构概述</w:t>
      </w:r>
    </w:p>
    <w:p w14:paraId="6EBCCE8A" w14:textId="77777777" w:rsidR="00271E7E" w:rsidRDefault="00000000">
      <w:pPr>
        <w:spacing w:after="62" w:line="240" w:lineRule="auto"/>
        <w:rPr>
          <w:rFonts w:hint="eastAsia"/>
        </w:rPr>
      </w:pPr>
      <w:r>
        <w:rPr>
          <w:rFonts w:hint="eastAsia"/>
        </w:rPr>
        <w:t>系统整体采用分层架构设计，主要包括感知层、传输与网络层、平台与业务服务层以及应用交互层。各层之间通过标准化接口进行数据交互，共同构成面向草莓精准种植的智能物联网系统。</w:t>
      </w:r>
    </w:p>
    <w:p w14:paraId="5C4C64F0" w14:textId="77777777" w:rsidR="00271E7E" w:rsidRDefault="00000000">
      <w:pPr>
        <w:spacing w:after="62" w:line="240" w:lineRule="auto"/>
        <w:rPr>
          <w:rFonts w:hint="eastAsia"/>
        </w:rPr>
      </w:pPr>
      <w:r>
        <w:rPr>
          <w:rFonts w:hint="eastAsia"/>
        </w:rPr>
        <w:t>感知层负责对草莓生长环境进行数据采集；</w:t>
      </w:r>
    </w:p>
    <w:p w14:paraId="79C93F19" w14:textId="77777777" w:rsidR="00271E7E" w:rsidRDefault="00000000">
      <w:pPr>
        <w:spacing w:after="62" w:line="240" w:lineRule="auto"/>
        <w:rPr>
          <w:rFonts w:hint="eastAsia"/>
        </w:rPr>
      </w:pPr>
      <w:r>
        <w:rPr>
          <w:rFonts w:hint="eastAsia"/>
        </w:rPr>
        <w:t>传输与网络层实现现场数据的汇聚、转换与远程传输；</w:t>
      </w:r>
    </w:p>
    <w:p w14:paraId="3886A236" w14:textId="77777777" w:rsidR="00271E7E" w:rsidRDefault="00000000">
      <w:pPr>
        <w:spacing w:after="62" w:line="240" w:lineRule="auto"/>
        <w:rPr>
          <w:rFonts w:hint="eastAsia"/>
        </w:rPr>
      </w:pPr>
      <w:r>
        <w:rPr>
          <w:rFonts w:hint="eastAsia"/>
        </w:rPr>
        <w:t>平台层完成数据处理、分析决策与控制指令生成；</w:t>
      </w:r>
    </w:p>
    <w:p w14:paraId="2009BC79" w14:textId="77777777" w:rsidR="00271E7E" w:rsidRDefault="00000000">
      <w:pPr>
        <w:spacing w:after="62" w:line="240" w:lineRule="auto"/>
        <w:rPr>
          <w:rFonts w:hint="eastAsia"/>
        </w:rPr>
      </w:pPr>
      <w:r>
        <w:rPr>
          <w:rFonts w:hint="eastAsia"/>
        </w:rPr>
        <w:t>应用层通过 Web 端与移动端为用户提供直观的人机交互界面。</w:t>
      </w:r>
    </w:p>
    <w:p w14:paraId="3090330B" w14:textId="77777777" w:rsidR="00271E7E" w:rsidRDefault="00000000">
      <w:pPr>
        <w:pStyle w:val="3"/>
        <w:spacing w:before="156" w:after="62"/>
        <w:rPr>
          <w:rFonts w:hint="eastAsia"/>
        </w:rPr>
      </w:pPr>
      <w:r>
        <w:rPr>
          <w:rFonts w:hint="eastAsia"/>
        </w:rPr>
        <w:t>感知层：让环境变化“看得见”</w:t>
      </w:r>
    </w:p>
    <w:p w14:paraId="2702F29B" w14:textId="77777777" w:rsidR="00271E7E" w:rsidRDefault="00000000">
      <w:pPr>
        <w:spacing w:after="62"/>
        <w:rPr>
          <w:rFonts w:hint="eastAsia"/>
        </w:rPr>
      </w:pPr>
      <w:r>
        <w:rPr>
          <w:rFonts w:hint="eastAsia"/>
        </w:rPr>
        <w:t>监测不止停留在温湿度与CO₂，而是进一步把光质纳入评估，使“补光是否补对”成为可判断的指标，从而为后续的补光策略与品质稳定提供数据支撑。</w:t>
      </w:r>
    </w:p>
    <w:p w14:paraId="3721F455" w14:textId="77777777" w:rsidR="00271E7E" w:rsidRDefault="00000000">
      <w:pPr>
        <w:spacing w:after="62"/>
        <w:rPr>
          <w:rFonts w:hint="eastAsia"/>
        </w:rPr>
      </w:pPr>
      <w:r>
        <w:rPr>
          <w:rFonts w:hint="eastAsia"/>
        </w:rPr>
        <w:t>农户不再靠巡棚和感觉判断，能够实时掌握温湿度、浇水与补光是否偏离适宜区间，减少误判带来的减产与口感波动。</w:t>
      </w:r>
    </w:p>
    <w:p w14:paraId="2CA73A6B" w14:textId="77777777" w:rsidR="00271E7E" w:rsidRDefault="00000000">
      <w:pPr>
        <w:spacing w:after="62"/>
        <w:rPr>
          <w:rFonts w:hint="eastAsia"/>
        </w:rPr>
      </w:pPr>
      <w:r>
        <w:rPr>
          <w:rFonts w:hint="eastAsia"/>
          <w:b/>
        </w:rPr>
        <w:t>核心配置：</w:t>
      </w:r>
      <w:r>
        <w:rPr>
          <w:rFonts w:hint="eastAsia"/>
        </w:rPr>
        <w:t>系统部署温湿度、土壤多参数、光照、CO₂ 等环境传感器，并引入 AS7341 光谱传感器对补光效果进行量化评估，形成“环境 + 光环境”的双维监测体系。</w:t>
      </w:r>
    </w:p>
    <w:p w14:paraId="2678F709" w14:textId="77777777" w:rsidR="00271E7E" w:rsidRDefault="00000000">
      <w:pPr>
        <w:pStyle w:val="3"/>
        <w:spacing w:before="156" w:after="62"/>
        <w:rPr>
          <w:rFonts w:hint="eastAsia"/>
        </w:rPr>
      </w:pPr>
      <w:r>
        <w:rPr>
          <w:rFonts w:hint="eastAsia"/>
        </w:rPr>
        <w:t>传输与网络层：把棚内数据稳定送上云、把指令可靠送回棚</w:t>
      </w:r>
    </w:p>
    <w:p w14:paraId="09A9D7C9" w14:textId="77777777" w:rsidR="00271E7E" w:rsidRDefault="00000000">
      <w:pPr>
        <w:spacing w:after="62"/>
        <w:rPr>
          <w:rFonts w:hint="eastAsia"/>
        </w:rPr>
      </w:pPr>
      <w:r>
        <w:rPr>
          <w:rFonts w:hint="eastAsia"/>
        </w:rPr>
        <w:t>支持多源数据统一接入与封装传输，具备远程可达、可运维的网络能力，降低“必须到棚里才能确认情况”的依赖。</w:t>
      </w:r>
    </w:p>
    <w:p w14:paraId="53C7E062" w14:textId="77777777" w:rsidR="00271E7E" w:rsidRDefault="00000000">
      <w:pPr>
        <w:spacing w:after="62"/>
        <w:rPr>
          <w:rFonts w:hint="eastAsia"/>
        </w:rPr>
      </w:pPr>
      <w:r>
        <w:rPr>
          <w:rFonts w:hint="eastAsia"/>
        </w:rPr>
        <w:t>农户在手机上也能持续看到数据、收到告警、远程下发控制，减少跑棚次数与“发现太</w:t>
      </w:r>
      <w:r>
        <w:rPr>
          <w:rFonts w:hint="eastAsia"/>
        </w:rPr>
        <w:lastRenderedPageBreak/>
        <w:t>晚”的损失窗口。</w:t>
      </w:r>
    </w:p>
    <w:p w14:paraId="35F7E971" w14:textId="77777777" w:rsidR="00271E7E" w:rsidRDefault="00000000">
      <w:pPr>
        <w:spacing w:after="62" w:line="240" w:lineRule="auto"/>
        <w:ind w:firstLineChars="0"/>
        <w:rPr>
          <w:rFonts w:hint="eastAsia"/>
        </w:rPr>
      </w:pPr>
      <w:r>
        <w:rPr>
          <w:rFonts w:hint="eastAsia"/>
          <w:b/>
          <w:bCs/>
        </w:rPr>
        <w:t>核心配置：</w:t>
      </w:r>
      <w:r>
        <w:rPr>
          <w:rFonts w:hint="eastAsia"/>
        </w:rPr>
        <w:t>以 usr-n510 作为数据汇聚与转换节点，结合 5G 无线数据终端 + 路由器构建上行通道，实现传感数据的远程接入与统一传输。</w:t>
      </w:r>
    </w:p>
    <w:p w14:paraId="02C365BA" w14:textId="77777777" w:rsidR="00271E7E" w:rsidRDefault="00000000">
      <w:pPr>
        <w:pStyle w:val="3"/>
        <w:spacing w:before="156" w:after="62"/>
        <w:rPr>
          <w:rFonts w:hint="eastAsia"/>
        </w:rPr>
      </w:pPr>
      <w:r>
        <w:rPr>
          <w:rFonts w:hint="eastAsia"/>
        </w:rPr>
        <w:t>平台层：把数据变成策略，让系统真正“替农户干活”</w:t>
      </w:r>
    </w:p>
    <w:p w14:paraId="1D224399" w14:textId="77777777" w:rsidR="00271E7E" w:rsidRDefault="00000000">
      <w:pPr>
        <w:spacing w:after="62"/>
        <w:rPr>
          <w:rFonts w:hint="eastAsia"/>
        </w:rPr>
      </w:pPr>
      <w:r>
        <w:rPr>
          <w:rFonts w:hint="eastAsia"/>
        </w:rPr>
        <w:t>平台层不仅对温湿度、土壤、CO₂、光照等数据进行融合分析，还将视频流纳入智能分析体系，在云端完成病虫害识别与风险判断，输出可落地的告警与处置建议，从“看到异常”升级为“提前干预”。平台把病虫害识别从单点功能做成系统能力——识别结果不是停留在“识别到了什么”，而是进一步转化为风险等级、发生位置/时间、推荐处理动作，并可与环境数据关联（例如高湿诱发风险、通风/控湿建议），提升判断的可解释性与处置效率。</w:t>
      </w:r>
    </w:p>
    <w:p w14:paraId="468812CF" w14:textId="77777777" w:rsidR="00271E7E" w:rsidRDefault="00000000">
      <w:pPr>
        <w:spacing w:after="62"/>
        <w:rPr>
          <w:rFonts w:hint="eastAsia"/>
        </w:rPr>
      </w:pPr>
      <w:r>
        <w:rPr>
          <w:rFonts w:hint="eastAsia"/>
        </w:rPr>
        <w:t>农户不必天天盯棚找病斑，平台会在视频位识别到疑似病虫害时自动推送预警并给出处理建议，把“发现晚、扩散快、损失大”的被动局面，变成“早发现、早处理、少损失”的主动管理。</w:t>
      </w:r>
    </w:p>
    <w:p w14:paraId="6D4671F4" w14:textId="77777777" w:rsidR="00271E7E" w:rsidRDefault="00000000">
      <w:pPr>
        <w:spacing w:after="62"/>
        <w:rPr>
          <w:rFonts w:hint="eastAsia"/>
        </w:rPr>
      </w:pPr>
      <w:r>
        <w:rPr>
          <w:rFonts w:hint="eastAsia"/>
          <w:b/>
        </w:rPr>
        <w:t>核心配置：</w:t>
      </w:r>
      <w:r>
        <w:rPr>
          <w:rFonts w:hint="eastAsia"/>
        </w:rPr>
        <w:t>平台接入摄像头视频流后，通过“抽帧/采样 → 模型推理 → 结果结构化 → 告警/建议生成”的流程，集成病虫害检测模型实现叶片/果实异常识别，并与 MQTT 的设备控制链路和通知机制联动，形成“识别—预警—建议—执行”的闭环能力。</w:t>
      </w:r>
    </w:p>
    <w:p w14:paraId="428E86EA" w14:textId="77777777" w:rsidR="00271E7E" w:rsidRDefault="00000000">
      <w:pPr>
        <w:pStyle w:val="3"/>
        <w:spacing w:before="156" w:after="62"/>
        <w:rPr>
          <w:rFonts w:hint="eastAsia"/>
        </w:rPr>
      </w:pPr>
      <w:r>
        <w:rPr>
          <w:rFonts w:hint="eastAsia"/>
        </w:rPr>
        <w:t xml:space="preserve">应用层：把复杂系统压缩成“看得懂、点得动、用得久”的操作体验 </w:t>
      </w:r>
    </w:p>
    <w:p w14:paraId="70DAA0C9" w14:textId="77777777" w:rsidR="00271E7E" w:rsidRDefault="00000000">
      <w:pPr>
        <w:spacing w:after="62"/>
        <w:rPr>
          <w:rFonts w:hint="eastAsia"/>
        </w:rPr>
      </w:pPr>
      <w:r>
        <w:rPr>
          <w:rFonts w:hint="eastAsia"/>
        </w:rPr>
        <w:t>应用层包含 Web 端与移动端 App，覆盖环境数据看板、设备控制、AI 建议、告警通知与消息沟通等功能，并与平台层实时联动。</w:t>
      </w:r>
    </w:p>
    <w:p w14:paraId="0E5740CC" w14:textId="77777777" w:rsidR="00271E7E" w:rsidRDefault="00000000">
      <w:pPr>
        <w:pStyle w:val="4"/>
        <w:spacing w:before="156" w:after="62"/>
        <w:rPr>
          <w:rFonts w:hint="eastAsia"/>
        </w:rPr>
      </w:pPr>
      <w:r>
        <w:rPr>
          <w:rFonts w:hint="eastAsia"/>
        </w:rPr>
        <w:t>统一导航：一套入口覆盖全流程管理</w:t>
      </w:r>
    </w:p>
    <w:p w14:paraId="445D9CAA" w14:textId="77777777" w:rsidR="00271E7E" w:rsidRDefault="00000000">
      <w:pPr>
        <w:spacing w:after="62"/>
        <w:rPr>
          <w:rFonts w:hint="eastAsia"/>
        </w:rPr>
      </w:pPr>
      <w:r>
        <w:rPr>
          <w:rFonts w:hint="eastAsia"/>
        </w:rPr>
        <w:t>Web 端在顶部提供</w:t>
      </w:r>
      <w:r>
        <w:rPr>
          <w:rFonts w:hint="eastAsia"/>
          <w:b/>
          <w:bCs/>
        </w:rPr>
        <w:t>「农作物监测 / 硬件设备控制 / 数据看板 / AI 助手 / 聊天」的全局导航</w:t>
      </w:r>
      <w:r>
        <w:rPr>
          <w:rFonts w:hint="eastAsia"/>
        </w:rPr>
        <w:t>，使农户从“看数据”到“下指令”再到“问助手/找人”始终在同一套界面里完成，避免多系统切换导致的学习成本与操作失误。</w:t>
      </w:r>
    </w:p>
    <w:p w14:paraId="564FF555" w14:textId="77777777" w:rsidR="00271E7E" w:rsidRDefault="00000000">
      <w:pPr>
        <w:spacing w:after="62"/>
        <w:rPr>
          <w:rFonts w:hint="eastAsia"/>
        </w:rPr>
      </w:pPr>
      <w:r>
        <w:rPr>
          <w:rFonts w:hint="eastAsia"/>
        </w:rPr>
        <w:t>这种设计把复杂功能按农户习惯串成路径：先看状态，再看趋势，再做控制，最后做沟通与复盘，操作逻辑更接近“管棚”的实际节奏。</w:t>
      </w:r>
    </w:p>
    <w:p w14:paraId="548393F8" w14:textId="77777777" w:rsidR="00271E7E" w:rsidRDefault="00000000">
      <w:pPr>
        <w:pStyle w:val="a0"/>
        <w:spacing w:after="62"/>
        <w:rPr>
          <w:rFonts w:hint="eastAsia"/>
        </w:rPr>
      </w:pPr>
      <w:r>
        <w:rPr>
          <w:noProof/>
        </w:rPr>
        <w:drawing>
          <wp:inline distT="0" distB="0" distL="114300" distR="114300" wp14:anchorId="4C82E3C4" wp14:editId="5468B164">
            <wp:extent cx="5270500" cy="434340"/>
            <wp:effectExtent l="0" t="0" r="2540" b="762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0"/>
                    <a:stretch>
                      <a:fillRect/>
                    </a:stretch>
                  </pic:blipFill>
                  <pic:spPr>
                    <a:xfrm>
                      <a:off x="0" y="0"/>
                      <a:ext cx="5270500" cy="434340"/>
                    </a:xfrm>
                    <a:prstGeom prst="rect">
                      <a:avLst/>
                    </a:prstGeom>
                    <a:noFill/>
                    <a:ln>
                      <a:noFill/>
                    </a:ln>
                  </pic:spPr>
                </pic:pic>
              </a:graphicData>
            </a:graphic>
          </wp:inline>
        </w:drawing>
      </w:r>
    </w:p>
    <w:p w14:paraId="56D085FB" w14:textId="77777777" w:rsidR="00271E7E" w:rsidRDefault="00000000">
      <w:pPr>
        <w:pStyle w:val="a5"/>
        <w:spacing w:after="62"/>
        <w:rPr>
          <w:rFonts w:hint="eastAsia"/>
        </w:rPr>
      </w:pPr>
      <w:r>
        <w:t xml:space="preserve">图 </w:t>
      </w:r>
      <w:fldSimple w:instr=" STYLEREF 4 \s ">
        <w:r>
          <w:t>4.3.4.1</w:t>
        </w:r>
      </w:fldSimple>
      <w:r>
        <w:rPr>
          <w:rFonts w:hint="eastAsia"/>
        </w:rPr>
        <w:t>-</w:t>
      </w:r>
      <w:fldSimple w:instr=" SEQ 图 \* ARABIC \s 4 ">
        <w:r>
          <w:t>1</w:t>
        </w:r>
      </w:fldSimple>
      <w:r>
        <w:rPr>
          <w:rFonts w:hint="eastAsia"/>
        </w:rPr>
        <w:t>web端导航栏</w:t>
      </w:r>
    </w:p>
    <w:p w14:paraId="18B0D5D0" w14:textId="77777777" w:rsidR="00271E7E" w:rsidRDefault="00000000">
      <w:pPr>
        <w:pStyle w:val="4"/>
        <w:spacing w:before="156" w:after="62"/>
        <w:rPr>
          <w:rFonts w:hint="eastAsia"/>
        </w:rPr>
      </w:pPr>
      <w:r>
        <w:rPr>
          <w:rFonts w:hint="eastAsia"/>
        </w:rPr>
        <w:t>数据看板：关键指标卡片化</w:t>
      </w:r>
      <w:r>
        <w:rPr>
          <w:rFonts w:hint="eastAsia"/>
        </w:rPr>
        <w:t xml:space="preserve"> + </w:t>
      </w:r>
      <w:r>
        <w:rPr>
          <w:rFonts w:hint="eastAsia"/>
        </w:rPr>
        <w:t>时间粒度切换</w:t>
      </w:r>
    </w:p>
    <w:p w14:paraId="5307480E" w14:textId="77777777" w:rsidR="00271E7E" w:rsidRDefault="00000000">
      <w:pPr>
        <w:spacing w:after="62"/>
        <w:rPr>
          <w:rFonts w:hint="eastAsia"/>
        </w:rPr>
      </w:pPr>
      <w:r>
        <w:rPr>
          <w:rFonts w:hint="eastAsia"/>
        </w:rPr>
        <w:lastRenderedPageBreak/>
        <w:t>数据看板用“大卡片 KPI”集中展示棚内核心指标，例如</w:t>
      </w:r>
      <w:r>
        <w:rPr>
          <w:rFonts w:hint="eastAsia"/>
          <w:b/>
          <w:bCs/>
        </w:rPr>
        <w:t>空气温湿度、光照强度、CO₂ 浓度、土壤湿度/肥力</w:t>
      </w:r>
      <w:r>
        <w:rPr>
          <w:rFonts w:hint="eastAsia"/>
        </w:rPr>
        <w:t>，以及氮磷钾等土壤养分数据，并在每张卡片上提供 1h 等时间粒度切换，让农户既能看当前是否偏离，也能快速判断“是瞬时波动还是持续异常”。</w:t>
      </w:r>
    </w:p>
    <w:p w14:paraId="59642377" w14:textId="77777777" w:rsidR="00271E7E" w:rsidRDefault="00000000">
      <w:pPr>
        <w:spacing w:after="62"/>
        <w:rPr>
          <w:rFonts w:hint="eastAsia"/>
        </w:rPr>
      </w:pPr>
      <w:r>
        <w:rPr>
          <w:rFonts w:hint="eastAsia"/>
        </w:rPr>
        <w:t>这种表达方式把原本需要专业表格才能看懂的数据，变成“扫一眼就知道哪里不对”的状态面板，尤其适合经验型农户在忙碌场景下快速决策。</w:t>
      </w:r>
    </w:p>
    <w:p w14:paraId="71B17906" w14:textId="77777777" w:rsidR="00271E7E" w:rsidRDefault="00000000">
      <w:pPr>
        <w:pStyle w:val="a0"/>
        <w:spacing w:after="62"/>
        <w:rPr>
          <w:rFonts w:hint="eastAsia"/>
        </w:rPr>
      </w:pPr>
      <w:r>
        <w:rPr>
          <w:noProof/>
        </w:rPr>
        <w:drawing>
          <wp:inline distT="0" distB="0" distL="114300" distR="114300" wp14:anchorId="4F6A2557" wp14:editId="3627568B">
            <wp:extent cx="5256530" cy="1466850"/>
            <wp:effectExtent l="0" t="0" r="1270" b="1143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1"/>
                    <a:stretch>
                      <a:fillRect/>
                    </a:stretch>
                  </pic:blipFill>
                  <pic:spPr>
                    <a:xfrm>
                      <a:off x="0" y="0"/>
                      <a:ext cx="5256530" cy="1466850"/>
                    </a:xfrm>
                    <a:prstGeom prst="rect">
                      <a:avLst/>
                    </a:prstGeom>
                    <a:noFill/>
                    <a:ln>
                      <a:noFill/>
                    </a:ln>
                  </pic:spPr>
                </pic:pic>
              </a:graphicData>
            </a:graphic>
          </wp:inline>
        </w:drawing>
      </w:r>
    </w:p>
    <w:p w14:paraId="407CD17E" w14:textId="77777777" w:rsidR="00271E7E" w:rsidRDefault="00000000">
      <w:pPr>
        <w:pStyle w:val="a5"/>
        <w:spacing w:after="62"/>
        <w:rPr>
          <w:rFonts w:hint="eastAsia"/>
        </w:rPr>
      </w:pPr>
      <w:r>
        <w:t xml:space="preserve">图 </w:t>
      </w:r>
      <w:fldSimple w:instr=" STYLEREF 4 \s ">
        <w:r>
          <w:t>4.3.4.2</w:t>
        </w:r>
      </w:fldSimple>
      <w:r>
        <w:rPr>
          <w:rFonts w:hint="eastAsia"/>
        </w:rPr>
        <w:t>-</w:t>
      </w:r>
      <w:fldSimple w:instr=" SEQ 图 \* ARABIC \s 4 ">
        <w:r>
          <w:t>1</w:t>
        </w:r>
      </w:fldSimple>
      <w:r>
        <w:rPr>
          <w:rFonts w:hint="eastAsia"/>
        </w:rPr>
        <w:t>数据看板</w:t>
      </w:r>
    </w:p>
    <w:p w14:paraId="0F7DA16C" w14:textId="77777777" w:rsidR="00271E7E" w:rsidRDefault="00000000">
      <w:pPr>
        <w:pStyle w:val="4"/>
        <w:spacing w:before="156" w:after="62"/>
        <w:rPr>
          <w:rFonts w:hint="eastAsia"/>
        </w:rPr>
      </w:pPr>
      <w:r>
        <w:rPr>
          <w:rFonts w:hint="eastAsia"/>
        </w:rPr>
        <w:t>光谱模块：把补光从“开灯”升级为“可评估的光环境管理”</w:t>
      </w:r>
    </w:p>
    <w:p w14:paraId="61A66D1F" w14:textId="77777777" w:rsidR="00271E7E" w:rsidRDefault="00000000">
      <w:pPr>
        <w:spacing w:after="62"/>
        <w:rPr>
          <w:rFonts w:hint="eastAsia"/>
        </w:rPr>
      </w:pPr>
      <w:r>
        <w:rPr>
          <w:rFonts w:hint="eastAsia"/>
        </w:rPr>
        <w:t>看板里单独出现「光谱分析（Spectral）」指标，并与补光控制页面形成前后闭环，使光环境不再只看 lux 强弱，而是具备“补光效果是否达标”的评估入口。</w:t>
      </w:r>
    </w:p>
    <w:p w14:paraId="48B523A4" w14:textId="77777777" w:rsidR="00271E7E" w:rsidRDefault="00000000">
      <w:pPr>
        <w:spacing w:after="62"/>
        <w:rPr>
          <w:rFonts w:hint="eastAsia"/>
        </w:rPr>
      </w:pPr>
      <w:r>
        <w:rPr>
          <w:rFonts w:hint="eastAsia"/>
        </w:rPr>
        <w:t>这类设计的价值在于，它让补光策略不再靠感觉试错，而是逐步走向数据驱动，从而更稳定地服务于果色一致性、糖度积累与成熟节奏控制。</w:t>
      </w:r>
    </w:p>
    <w:p w14:paraId="68251B33" w14:textId="77777777" w:rsidR="00271E7E" w:rsidRDefault="00000000">
      <w:pPr>
        <w:pStyle w:val="a0"/>
        <w:spacing w:after="62"/>
        <w:rPr>
          <w:rFonts w:hint="eastAsia"/>
        </w:rPr>
      </w:pPr>
      <w:r>
        <w:rPr>
          <w:noProof/>
        </w:rPr>
        <w:drawing>
          <wp:inline distT="0" distB="0" distL="114300" distR="114300" wp14:anchorId="1E2FE778" wp14:editId="2ECF9952">
            <wp:extent cx="5268595" cy="831850"/>
            <wp:effectExtent l="0" t="0" r="4445" b="635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2"/>
                    <a:stretch>
                      <a:fillRect/>
                    </a:stretch>
                  </pic:blipFill>
                  <pic:spPr>
                    <a:xfrm>
                      <a:off x="0" y="0"/>
                      <a:ext cx="5268595" cy="831850"/>
                    </a:xfrm>
                    <a:prstGeom prst="rect">
                      <a:avLst/>
                    </a:prstGeom>
                    <a:noFill/>
                    <a:ln>
                      <a:noFill/>
                    </a:ln>
                  </pic:spPr>
                </pic:pic>
              </a:graphicData>
            </a:graphic>
          </wp:inline>
        </w:drawing>
      </w:r>
    </w:p>
    <w:p w14:paraId="72915E72" w14:textId="77777777" w:rsidR="00271E7E" w:rsidRDefault="00000000">
      <w:pPr>
        <w:pStyle w:val="a5"/>
        <w:spacing w:after="62"/>
        <w:rPr>
          <w:rFonts w:hint="eastAsia"/>
        </w:rPr>
      </w:pPr>
      <w:r>
        <w:t xml:space="preserve">图 </w:t>
      </w:r>
      <w:fldSimple w:instr=" STYLEREF 4 \s ">
        <w:r>
          <w:t>4.3.4.3</w:t>
        </w:r>
      </w:fldSimple>
      <w:r>
        <w:rPr>
          <w:rFonts w:hint="eastAsia"/>
        </w:rPr>
        <w:t>-</w:t>
      </w:r>
      <w:fldSimple w:instr=" SEQ 图 \* ARABIC \s 4 ">
        <w:r>
          <w:t>1</w:t>
        </w:r>
      </w:fldSimple>
      <w:r>
        <w:rPr>
          <w:rFonts w:hint="eastAsia"/>
        </w:rPr>
        <w:t>光谱模块</w:t>
      </w:r>
    </w:p>
    <w:p w14:paraId="4DE14355" w14:textId="77777777" w:rsidR="00271E7E" w:rsidRDefault="00000000">
      <w:pPr>
        <w:pStyle w:val="4"/>
        <w:spacing w:before="156" w:after="62"/>
        <w:rPr>
          <w:rFonts w:hint="eastAsia"/>
        </w:rPr>
      </w:pPr>
      <w:r>
        <w:rPr>
          <w:rFonts w:hint="eastAsia"/>
        </w:rPr>
        <w:t>硬件控制台与侧边信息舱</w:t>
      </w:r>
    </w:p>
    <w:p w14:paraId="55E100E6" w14:textId="77777777" w:rsidR="00271E7E" w:rsidRDefault="00000000">
      <w:pPr>
        <w:spacing w:after="62"/>
        <w:rPr>
          <w:rFonts w:hint="eastAsia"/>
        </w:rPr>
      </w:pPr>
      <w:r>
        <w:rPr>
          <w:rFonts w:hint="eastAsia"/>
          <w:b/>
          <w:bCs/>
        </w:rPr>
        <w:t>「硬件设备控制」</w:t>
      </w:r>
      <w:r>
        <w:rPr>
          <w:rFonts w:hint="eastAsia"/>
        </w:rPr>
        <w:t>页将水泵、风扇、补光灯、白灯等执行设备按 Relay 编号卡片化呈现，并提供清晰的开关状态，降低了“设备多、入口乱、怕点错”的心理门槛。同时页面提供「补光灯颜色（RGB 控制）」与亮度等滑杆参数，并通过“更新 LED 亮度”按钮完成下发，使控制不止是开/关，而是可以做“按目标调参”的精细化管理。这套交互对农户的意义很直接：操作像开家电一样简单，但效果接近专业调控，既能减少误操作，也能把控制动作做得更贴合作物需求。</w:t>
      </w:r>
    </w:p>
    <w:p w14:paraId="33EC5C69" w14:textId="77777777" w:rsidR="00271E7E" w:rsidRDefault="00000000">
      <w:pPr>
        <w:pStyle w:val="a0"/>
        <w:spacing w:after="62"/>
        <w:rPr>
          <w:rFonts w:hint="eastAsia"/>
        </w:rPr>
      </w:pPr>
      <w:r>
        <w:rPr>
          <w:rFonts w:hint="eastAsia"/>
          <w:b/>
          <w:bCs/>
        </w:rPr>
        <w:t>「侧边信息舱」</w:t>
      </w:r>
      <w:r>
        <w:rPr>
          <w:rFonts w:hint="eastAsia"/>
        </w:rPr>
        <w:t>控制页面右侧集成天气卡片（温度、湿度、风速、气压等）与大棚关键参数摘要，使农户在下达控制之前能先做“外界天气—棚内状态”的对照判断。这种同屏设计能明显降低“只盯棚内数值导致误判”的概率，尤其在气候波动明显、昼夜温差大的季节，</w:t>
      </w:r>
      <w:r>
        <w:rPr>
          <w:rFonts w:hint="eastAsia"/>
        </w:rPr>
        <w:lastRenderedPageBreak/>
        <w:t>能帮助农户更稳地做通风、补光、灌溉节奏调整。</w:t>
      </w:r>
      <w:r>
        <w:rPr>
          <w:noProof/>
        </w:rPr>
        <w:drawing>
          <wp:inline distT="0" distB="0" distL="114300" distR="114300" wp14:anchorId="6D39B780" wp14:editId="5A41AC19">
            <wp:extent cx="5266690" cy="2455545"/>
            <wp:effectExtent l="0" t="0" r="6350" b="1333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13"/>
                    <a:stretch>
                      <a:fillRect/>
                    </a:stretch>
                  </pic:blipFill>
                  <pic:spPr>
                    <a:xfrm>
                      <a:off x="0" y="0"/>
                      <a:ext cx="5266690" cy="2455545"/>
                    </a:xfrm>
                    <a:prstGeom prst="rect">
                      <a:avLst/>
                    </a:prstGeom>
                    <a:noFill/>
                    <a:ln>
                      <a:noFill/>
                    </a:ln>
                  </pic:spPr>
                </pic:pic>
              </a:graphicData>
            </a:graphic>
          </wp:inline>
        </w:drawing>
      </w:r>
    </w:p>
    <w:p w14:paraId="0DA1EE5B" w14:textId="77777777" w:rsidR="00271E7E" w:rsidRDefault="00000000">
      <w:pPr>
        <w:pStyle w:val="a5"/>
        <w:spacing w:afterLines="0" w:after="0" w:line="240" w:lineRule="auto"/>
        <w:rPr>
          <w:rFonts w:hint="eastAsia"/>
        </w:rPr>
      </w:pPr>
      <w:r>
        <w:t xml:space="preserve">图 </w:t>
      </w:r>
      <w:fldSimple w:instr=" STYLEREF 4 \s ">
        <w:r>
          <w:t>4.3.4.4</w:t>
        </w:r>
      </w:fldSimple>
      <w:r>
        <w:rPr>
          <w:rFonts w:hint="eastAsia"/>
        </w:rPr>
        <w:t>-</w:t>
      </w:r>
      <w:fldSimple w:instr=" SEQ 图 \* ARABIC \s 4 ">
        <w:r>
          <w:t>1</w:t>
        </w:r>
      </w:fldSimple>
      <w:r>
        <w:rPr>
          <w:rFonts w:hint="eastAsia"/>
        </w:rPr>
        <w:t>设备控制模块与侧边信息舱</w:t>
      </w:r>
    </w:p>
    <w:p w14:paraId="1841D41B" w14:textId="77777777" w:rsidR="00271E7E" w:rsidRDefault="00000000">
      <w:pPr>
        <w:pStyle w:val="4"/>
        <w:spacing w:before="156" w:after="62"/>
        <w:rPr>
          <w:rFonts w:hint="eastAsia"/>
        </w:rPr>
      </w:pPr>
      <w:r>
        <w:rPr>
          <w:rFonts w:hint="eastAsia"/>
        </w:rPr>
        <w:t>农作物监测：视频位“看现场”，模型“给判断”</w:t>
      </w:r>
    </w:p>
    <w:p w14:paraId="3072C861" w14:textId="77777777" w:rsidR="00271E7E" w:rsidRDefault="00000000">
      <w:pPr>
        <w:spacing w:after="62"/>
        <w:rPr>
          <w:rFonts w:hint="eastAsia"/>
        </w:rPr>
      </w:pPr>
      <w:r>
        <w:rPr>
          <w:rFonts w:hint="eastAsia"/>
        </w:rPr>
        <w:t>「</w:t>
      </w:r>
      <w:r>
        <w:rPr>
          <w:rFonts w:hint="eastAsia"/>
          <w:b/>
          <w:bCs/>
        </w:rPr>
        <w:t>农作物监测</w:t>
      </w:r>
      <w:r>
        <w:rPr>
          <w:rFonts w:hint="eastAsia"/>
        </w:rPr>
        <w:t>」页提供温室摄像头 A/B 的 Live 视频入口与时间段标注（如 08:00–18:00），让农户远程也能确认作物长势、现场操作与设备运行状态。</w:t>
      </w:r>
    </w:p>
    <w:p w14:paraId="3E7E1066" w14:textId="77777777" w:rsidR="00271E7E" w:rsidRDefault="00000000">
      <w:pPr>
        <w:spacing w:after="62"/>
        <w:rPr>
          <w:rFonts w:hint="eastAsia"/>
        </w:rPr>
      </w:pPr>
      <w:r>
        <w:rPr>
          <w:rFonts w:hint="eastAsia"/>
        </w:rPr>
        <w:t>更关键的是，这个视频位可直接大模型的识别结果，使“看视频”不再是纯人工盯屏，而是可以把疑似病斑、叶片异常等风险转化为</w:t>
      </w:r>
      <w:r>
        <w:rPr>
          <w:rFonts w:hint="eastAsia"/>
          <w:b/>
          <w:bCs/>
        </w:rPr>
        <w:t>可提示、可追踪的判断</w:t>
      </w:r>
      <w:r>
        <w:rPr>
          <w:rFonts w:hint="eastAsia"/>
        </w:rPr>
        <w:t>，从而把病虫害从“发现晚、扩散快”变为“早发现、早处置”。</w:t>
      </w:r>
    </w:p>
    <w:p w14:paraId="0547E6C2" w14:textId="77777777" w:rsidR="00271E7E" w:rsidRDefault="00000000">
      <w:pPr>
        <w:pStyle w:val="a0"/>
        <w:spacing w:after="62"/>
        <w:rPr>
          <w:rFonts w:hint="eastAsia"/>
        </w:rPr>
      </w:pPr>
      <w:r>
        <w:rPr>
          <w:noProof/>
        </w:rPr>
        <w:drawing>
          <wp:inline distT="0" distB="0" distL="114300" distR="114300" wp14:anchorId="24742C00" wp14:editId="17C8CB94">
            <wp:extent cx="3350260" cy="1243965"/>
            <wp:effectExtent l="0" t="0" r="0" b="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14"/>
                    <a:srcRect b="42127"/>
                    <a:stretch>
                      <a:fillRect/>
                    </a:stretch>
                  </pic:blipFill>
                  <pic:spPr>
                    <a:xfrm>
                      <a:off x="0" y="0"/>
                      <a:ext cx="3350260" cy="1243965"/>
                    </a:xfrm>
                    <a:prstGeom prst="rect">
                      <a:avLst/>
                    </a:prstGeom>
                    <a:noFill/>
                    <a:ln>
                      <a:noFill/>
                    </a:ln>
                  </pic:spPr>
                </pic:pic>
              </a:graphicData>
            </a:graphic>
          </wp:inline>
        </w:drawing>
      </w:r>
    </w:p>
    <w:p w14:paraId="326C61D1" w14:textId="77777777" w:rsidR="00271E7E" w:rsidRDefault="00000000">
      <w:pPr>
        <w:pStyle w:val="a5"/>
        <w:spacing w:after="62"/>
        <w:rPr>
          <w:rFonts w:hint="eastAsia"/>
        </w:rPr>
      </w:pPr>
      <w:r>
        <w:t xml:space="preserve">图 </w:t>
      </w:r>
      <w:fldSimple w:instr=" STYLEREF 4 \s ">
        <w:r>
          <w:t>4.3.4.5</w:t>
        </w:r>
      </w:fldSimple>
      <w:r>
        <w:rPr>
          <w:rFonts w:hint="eastAsia"/>
        </w:rPr>
        <w:t>-</w:t>
      </w:r>
      <w:fldSimple w:instr=" SEQ 图 \* ARABIC \s 4 ">
        <w:r>
          <w:t>1</w:t>
        </w:r>
      </w:fldSimple>
      <w:r>
        <w:rPr>
          <w:rFonts w:hint="eastAsia"/>
          <w:bCs/>
        </w:rPr>
        <w:t>农作物监测-视频</w:t>
      </w:r>
    </w:p>
    <w:p w14:paraId="02F15164" w14:textId="77777777" w:rsidR="00271E7E" w:rsidRDefault="00000000">
      <w:pPr>
        <w:pStyle w:val="4"/>
        <w:spacing w:before="156" w:after="62"/>
        <w:rPr>
          <w:rFonts w:hint="eastAsia"/>
        </w:rPr>
      </w:pPr>
      <w:r>
        <w:rPr>
          <w:rFonts w:hint="eastAsia"/>
        </w:rPr>
        <w:t>数字孪生总览：一张</w:t>
      </w:r>
      <w:r>
        <w:rPr>
          <w:rFonts w:hint="eastAsia"/>
        </w:rPr>
        <w:t xml:space="preserve"> 3D </w:t>
      </w:r>
      <w:r>
        <w:rPr>
          <w:rFonts w:hint="eastAsia"/>
        </w:rPr>
        <w:t>大棚图把设备与区域“定位到现场”</w:t>
      </w:r>
    </w:p>
    <w:p w14:paraId="7ECC2139" w14:textId="77777777" w:rsidR="00271E7E" w:rsidRDefault="00000000">
      <w:pPr>
        <w:spacing w:after="62"/>
        <w:rPr>
          <w:rFonts w:hint="eastAsia"/>
        </w:rPr>
      </w:pPr>
      <w:r>
        <w:rPr>
          <w:rFonts w:hint="eastAsia"/>
        </w:rPr>
        <w:t>监测页中心使用 3D 大棚模型（数字孪生）作为总览界面，并在棚体上叠加多个功能点位标记，同时支持楼层/区域切换（例如 1F / 2F / Garage）。</w:t>
      </w:r>
    </w:p>
    <w:p w14:paraId="782374E0" w14:textId="77777777" w:rsidR="00271E7E" w:rsidRDefault="00000000">
      <w:pPr>
        <w:spacing w:after="62"/>
        <w:rPr>
          <w:rFonts w:hint="eastAsia"/>
        </w:rPr>
      </w:pPr>
      <w:r>
        <w:rPr>
          <w:rFonts w:hint="eastAsia"/>
        </w:rPr>
        <w:t>数字孪生的价值不在于“好看”，而在于把设备、区域、传感点与真实空间对齐，让农户不用记设备编号和位置，也能直观理解“哪个区域在异常、哪个点位需要处理”，对多棚/多区域管理尤其友好。</w:t>
      </w:r>
    </w:p>
    <w:p w14:paraId="0347BF2C" w14:textId="77777777" w:rsidR="00271E7E" w:rsidRDefault="00000000">
      <w:pPr>
        <w:pStyle w:val="a0"/>
        <w:spacing w:after="62"/>
        <w:rPr>
          <w:rFonts w:hint="eastAsia"/>
        </w:rPr>
      </w:pPr>
      <w:r>
        <w:rPr>
          <w:noProof/>
        </w:rPr>
        <w:lastRenderedPageBreak/>
        <w:drawing>
          <wp:inline distT="0" distB="0" distL="114300" distR="114300" wp14:anchorId="0D369C80" wp14:editId="031E82AA">
            <wp:extent cx="4291330" cy="2780030"/>
            <wp:effectExtent l="0" t="0" r="6350" b="889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15"/>
                    <a:stretch>
                      <a:fillRect/>
                    </a:stretch>
                  </pic:blipFill>
                  <pic:spPr>
                    <a:xfrm>
                      <a:off x="0" y="0"/>
                      <a:ext cx="4291330" cy="2780030"/>
                    </a:xfrm>
                    <a:prstGeom prst="rect">
                      <a:avLst/>
                    </a:prstGeom>
                    <a:noFill/>
                    <a:ln>
                      <a:noFill/>
                    </a:ln>
                  </pic:spPr>
                </pic:pic>
              </a:graphicData>
            </a:graphic>
          </wp:inline>
        </w:drawing>
      </w:r>
    </w:p>
    <w:p w14:paraId="727DAFF5" w14:textId="77777777" w:rsidR="00271E7E" w:rsidRDefault="00000000">
      <w:pPr>
        <w:pStyle w:val="a5"/>
        <w:spacing w:after="62"/>
        <w:rPr>
          <w:rFonts w:hint="eastAsia"/>
        </w:rPr>
      </w:pPr>
      <w:r>
        <w:t xml:space="preserve">图 </w:t>
      </w:r>
      <w:fldSimple w:instr=" STYLEREF 4 \s ">
        <w:r>
          <w:t>4.3.4.6</w:t>
        </w:r>
      </w:fldSimple>
      <w:r>
        <w:rPr>
          <w:rFonts w:hint="eastAsia"/>
        </w:rPr>
        <w:t>-</w:t>
      </w:r>
      <w:fldSimple w:instr=" SEQ 图 \* ARABIC \s 4 ">
        <w:r>
          <w:t>1</w:t>
        </w:r>
      </w:fldSimple>
      <w:r>
        <w:rPr>
          <w:rFonts w:hint="eastAsia"/>
        </w:rPr>
        <w:t>数字孪生模块</w:t>
      </w:r>
    </w:p>
    <w:p w14:paraId="5AD433F4" w14:textId="77777777" w:rsidR="00271E7E" w:rsidRDefault="00000000">
      <w:pPr>
        <w:pStyle w:val="4"/>
        <w:spacing w:before="156" w:after="62"/>
        <w:rPr>
          <w:rFonts w:hint="eastAsia"/>
        </w:rPr>
      </w:pPr>
      <w:r>
        <w:rPr>
          <w:rFonts w:hint="eastAsia"/>
        </w:rPr>
        <w:t>操作日志与成员协作：把“谁在什么时候做了什么”留痕</w:t>
      </w:r>
    </w:p>
    <w:p w14:paraId="19DA026B" w14:textId="77777777" w:rsidR="00271E7E" w:rsidRDefault="00000000">
      <w:pPr>
        <w:spacing w:after="62"/>
        <w:rPr>
          <w:rFonts w:hint="eastAsia"/>
        </w:rPr>
      </w:pPr>
      <w:r>
        <w:rPr>
          <w:rFonts w:hint="eastAsia"/>
        </w:rPr>
        <w:t>右侧面板展示「成员」与「操作日志」时间轴（包含继电器开关记录等），并以日历+列表的形式沉淀行为轨迹。</w:t>
      </w:r>
    </w:p>
    <w:p w14:paraId="5B9B7020" w14:textId="77777777" w:rsidR="00271E7E" w:rsidRDefault="00000000">
      <w:pPr>
        <w:spacing w:after="62"/>
        <w:rPr>
          <w:rFonts w:hint="eastAsia"/>
        </w:rPr>
      </w:pPr>
      <w:r>
        <w:rPr>
          <w:rFonts w:hint="eastAsia"/>
        </w:rPr>
        <w:t>这类设计能显著提升协作管理的可控性：当多人共同管棚时，操作可追溯、责任可界定、复盘有依据，也能降低“误操作后说不清”的摩擦成本。</w:t>
      </w:r>
    </w:p>
    <w:p w14:paraId="752970BC" w14:textId="77777777" w:rsidR="00271E7E" w:rsidRDefault="00000000">
      <w:pPr>
        <w:pStyle w:val="a0"/>
        <w:spacing w:after="62"/>
        <w:rPr>
          <w:rFonts w:hint="eastAsia"/>
        </w:rPr>
      </w:pPr>
      <w:r>
        <w:rPr>
          <w:noProof/>
        </w:rPr>
        <w:drawing>
          <wp:inline distT="0" distB="0" distL="114300" distR="114300" wp14:anchorId="44877505" wp14:editId="1BA122AD">
            <wp:extent cx="1344295" cy="1487170"/>
            <wp:effectExtent l="0" t="0" r="12065" b="635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16"/>
                    <a:stretch>
                      <a:fillRect/>
                    </a:stretch>
                  </pic:blipFill>
                  <pic:spPr>
                    <a:xfrm>
                      <a:off x="0" y="0"/>
                      <a:ext cx="1344295" cy="1487170"/>
                    </a:xfrm>
                    <a:prstGeom prst="rect">
                      <a:avLst/>
                    </a:prstGeom>
                    <a:noFill/>
                    <a:ln>
                      <a:noFill/>
                    </a:ln>
                  </pic:spPr>
                </pic:pic>
              </a:graphicData>
            </a:graphic>
          </wp:inline>
        </w:drawing>
      </w:r>
    </w:p>
    <w:p w14:paraId="51D6D8D4" w14:textId="77777777" w:rsidR="00271E7E" w:rsidRDefault="00000000">
      <w:pPr>
        <w:pStyle w:val="a5"/>
        <w:spacing w:after="62"/>
        <w:rPr>
          <w:rFonts w:hint="eastAsia"/>
        </w:rPr>
      </w:pPr>
      <w:r>
        <w:t xml:space="preserve">图 </w:t>
      </w:r>
      <w:fldSimple w:instr=" STYLEREF 4 \s ">
        <w:r>
          <w:t>4.3.4.7</w:t>
        </w:r>
      </w:fldSimple>
      <w:r>
        <w:rPr>
          <w:rFonts w:hint="eastAsia"/>
        </w:rPr>
        <w:t>-</w:t>
      </w:r>
      <w:fldSimple w:instr=" SEQ 图 \* ARABIC \s 4 ">
        <w:r>
          <w:t>1</w:t>
        </w:r>
      </w:fldSimple>
      <w:r>
        <w:rPr>
          <w:rFonts w:hint="eastAsia"/>
        </w:rPr>
        <w:t xml:space="preserve"> 操作日志</w:t>
      </w:r>
    </w:p>
    <w:p w14:paraId="3A4912A9" w14:textId="77777777" w:rsidR="00271E7E" w:rsidRDefault="00000000">
      <w:pPr>
        <w:pStyle w:val="4"/>
        <w:spacing w:before="156" w:after="62"/>
        <w:rPr>
          <w:rFonts w:hint="eastAsia"/>
        </w:rPr>
      </w:pPr>
      <w:r>
        <w:rPr>
          <w:rFonts w:hint="eastAsia"/>
        </w:rPr>
        <w:t xml:space="preserve">AI </w:t>
      </w:r>
      <w:r>
        <w:rPr>
          <w:rFonts w:hint="eastAsia"/>
        </w:rPr>
        <w:t>助手工作台：任务化快捷入口</w:t>
      </w:r>
      <w:r>
        <w:rPr>
          <w:rFonts w:hint="eastAsia"/>
        </w:rPr>
        <w:t xml:space="preserve"> + </w:t>
      </w:r>
      <w:r>
        <w:rPr>
          <w:rFonts w:hint="eastAsia"/>
        </w:rPr>
        <w:t>多模型可选</w:t>
      </w:r>
    </w:p>
    <w:p w14:paraId="205DA87A" w14:textId="77777777" w:rsidR="00271E7E" w:rsidRDefault="00000000">
      <w:pPr>
        <w:spacing w:after="62"/>
        <w:rPr>
          <w:rFonts w:hint="eastAsia"/>
        </w:rPr>
      </w:pPr>
      <w:r>
        <w:rPr>
          <w:rFonts w:hint="eastAsia"/>
        </w:rPr>
        <w:t>AI 助手页面以对话框为核心，并提供一排“任务按钮”，例如分析环境数据、制定灌溉计划、诊断病虫害、生成种植周报、检查设备状态，让农户不必组织复杂问题也能一键触发结果。</w:t>
      </w:r>
    </w:p>
    <w:p w14:paraId="441503F2" w14:textId="77777777" w:rsidR="00271E7E" w:rsidRDefault="00000000">
      <w:pPr>
        <w:pStyle w:val="a0"/>
        <w:spacing w:after="62"/>
        <w:rPr>
          <w:rFonts w:hint="eastAsia"/>
        </w:rPr>
      </w:pPr>
      <w:r>
        <w:rPr>
          <w:noProof/>
        </w:rPr>
        <w:lastRenderedPageBreak/>
        <w:drawing>
          <wp:inline distT="0" distB="0" distL="114300" distR="114300" wp14:anchorId="0FBC19DF" wp14:editId="3E393D61">
            <wp:extent cx="5272405" cy="2729230"/>
            <wp:effectExtent l="0" t="0" r="635" b="1397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17"/>
                    <a:stretch>
                      <a:fillRect/>
                    </a:stretch>
                  </pic:blipFill>
                  <pic:spPr>
                    <a:xfrm>
                      <a:off x="0" y="0"/>
                      <a:ext cx="5272405" cy="2729230"/>
                    </a:xfrm>
                    <a:prstGeom prst="rect">
                      <a:avLst/>
                    </a:prstGeom>
                    <a:noFill/>
                    <a:ln>
                      <a:noFill/>
                    </a:ln>
                  </pic:spPr>
                </pic:pic>
              </a:graphicData>
            </a:graphic>
          </wp:inline>
        </w:drawing>
      </w:r>
    </w:p>
    <w:p w14:paraId="75453A85" w14:textId="77777777" w:rsidR="00271E7E" w:rsidRDefault="00000000">
      <w:pPr>
        <w:pStyle w:val="a5"/>
        <w:spacing w:after="62"/>
        <w:rPr>
          <w:rFonts w:hint="eastAsia"/>
        </w:rPr>
      </w:pPr>
      <w:r>
        <w:t xml:space="preserve">图 </w:t>
      </w:r>
      <w:fldSimple w:instr=" STYLEREF 4 \s ">
        <w:r>
          <w:t>4.3.4.8</w:t>
        </w:r>
      </w:fldSimple>
      <w:r>
        <w:rPr>
          <w:rFonts w:hint="eastAsia"/>
        </w:rPr>
        <w:t>-</w:t>
      </w:r>
      <w:fldSimple w:instr=" SEQ 图 \* ARABIC \s 4 ">
        <w:r>
          <w:t>1</w:t>
        </w:r>
      </w:fldSimple>
      <w:r>
        <w:rPr>
          <w:rFonts w:hint="eastAsia"/>
        </w:rPr>
        <w:t xml:space="preserve"> AI 助手页面</w:t>
      </w:r>
    </w:p>
    <w:p w14:paraId="7BE2F7D3" w14:textId="77777777" w:rsidR="00271E7E" w:rsidRDefault="00000000">
      <w:pPr>
        <w:spacing w:after="62"/>
        <w:rPr>
          <w:rFonts w:hint="eastAsia"/>
        </w:rPr>
      </w:pPr>
      <w:r>
        <w:rPr>
          <w:rFonts w:hint="eastAsia"/>
        </w:rPr>
        <w:t>页面还支持模型选择（如智能模式 Auto、Qwen VL 系列、DeepSeek R1 等），使系统能够在不同任务中切换更适合的推理能力；这种“可选但不打扰”的设计既照顾高级用户，也不会让普通农户感到复杂。</w:t>
      </w:r>
    </w:p>
    <w:p w14:paraId="4D4A4F11" w14:textId="77777777" w:rsidR="00271E7E" w:rsidRDefault="00000000">
      <w:pPr>
        <w:pStyle w:val="a0"/>
        <w:spacing w:after="62"/>
        <w:rPr>
          <w:rFonts w:hint="eastAsia"/>
        </w:rPr>
      </w:pPr>
      <w:r>
        <w:rPr>
          <w:noProof/>
        </w:rPr>
        <w:drawing>
          <wp:inline distT="0" distB="0" distL="114300" distR="114300" wp14:anchorId="34F48303" wp14:editId="2352DC97">
            <wp:extent cx="5273675" cy="1619250"/>
            <wp:effectExtent l="0" t="0" r="14605" b="11430"/>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18"/>
                    <a:stretch>
                      <a:fillRect/>
                    </a:stretch>
                  </pic:blipFill>
                  <pic:spPr>
                    <a:xfrm>
                      <a:off x="0" y="0"/>
                      <a:ext cx="5273675" cy="1619250"/>
                    </a:xfrm>
                    <a:prstGeom prst="rect">
                      <a:avLst/>
                    </a:prstGeom>
                    <a:noFill/>
                    <a:ln>
                      <a:noFill/>
                    </a:ln>
                  </pic:spPr>
                </pic:pic>
              </a:graphicData>
            </a:graphic>
          </wp:inline>
        </w:drawing>
      </w:r>
    </w:p>
    <w:p w14:paraId="36C80AEE" w14:textId="77777777" w:rsidR="00271E7E" w:rsidRDefault="00000000">
      <w:pPr>
        <w:pStyle w:val="a5"/>
        <w:spacing w:after="62"/>
        <w:rPr>
          <w:rFonts w:hint="eastAsia"/>
        </w:rPr>
      </w:pPr>
      <w:r>
        <w:t xml:space="preserve">图 </w:t>
      </w:r>
      <w:fldSimple w:instr=" STYLEREF 4 \s ">
        <w:r>
          <w:t>4.3.4.8</w:t>
        </w:r>
      </w:fldSimple>
      <w:r>
        <w:rPr>
          <w:rFonts w:hint="eastAsia"/>
        </w:rPr>
        <w:t>-</w:t>
      </w:r>
      <w:fldSimple w:instr=" SEQ 图 \* ARABIC \s 4 ">
        <w:r>
          <w:t>2</w:t>
        </w:r>
      </w:fldSimple>
      <w:r>
        <w:rPr>
          <w:rFonts w:hint="eastAsia"/>
        </w:rPr>
        <w:t xml:space="preserve"> AI 助手页面-模型选择</w:t>
      </w:r>
    </w:p>
    <w:p w14:paraId="33581870" w14:textId="77777777" w:rsidR="00271E7E" w:rsidRDefault="00000000">
      <w:pPr>
        <w:spacing w:after="62"/>
        <w:rPr>
          <w:rFonts w:hint="eastAsia"/>
        </w:rPr>
      </w:pPr>
      <w:r>
        <w:rPr>
          <w:rFonts w:hint="eastAsia"/>
        </w:rPr>
        <w:t>对农户而言，AI 助手的核心意义是把“看一堆数据—自己想办法”变成“系统先给结论与建议”，并把建议与控制、告警、周报等形成连续动作。</w:t>
      </w:r>
    </w:p>
    <w:p w14:paraId="55AE6192" w14:textId="77777777" w:rsidR="00271E7E" w:rsidRDefault="00000000">
      <w:pPr>
        <w:pStyle w:val="4"/>
        <w:spacing w:before="156" w:after="62"/>
        <w:rPr>
          <w:rFonts w:hint="eastAsia"/>
        </w:rPr>
      </w:pPr>
      <w:r>
        <w:rPr>
          <w:rFonts w:hint="eastAsia"/>
        </w:rPr>
        <w:t>系统健康与安全：让农户敢长期依赖</w:t>
      </w:r>
    </w:p>
    <w:p w14:paraId="1DE1F290" w14:textId="77777777" w:rsidR="00271E7E" w:rsidRDefault="00000000">
      <w:pPr>
        <w:spacing w:after="62"/>
        <w:rPr>
          <w:rFonts w:hint="eastAsia"/>
        </w:rPr>
      </w:pPr>
      <w:r>
        <w:rPr>
          <w:rFonts w:hint="eastAsia"/>
        </w:rPr>
        <w:t>Web 端提供系统在线状态（ONLINE）、告警统计、近期活动记录，以及 API 延迟、数据库连接稳定性等健康指标面板，并在账号侧呈现权限与安全状态。</w:t>
      </w:r>
    </w:p>
    <w:p w14:paraId="00232D99" w14:textId="77777777" w:rsidR="00271E7E" w:rsidRDefault="00000000">
      <w:pPr>
        <w:spacing w:after="62"/>
        <w:rPr>
          <w:rFonts w:hint="eastAsia"/>
        </w:rPr>
      </w:pPr>
      <w:r>
        <w:rPr>
          <w:rFonts w:hint="eastAsia"/>
        </w:rPr>
        <w:t>这些信息让系统从“能用一次”走向“敢用很久”：当农户知道平台运行稳定、数据链路可信、出问题有迹可循，就更愿意把日常管理交给系统而不是回到纯经验模式。</w:t>
      </w:r>
    </w:p>
    <w:p w14:paraId="6098EB4C" w14:textId="77777777" w:rsidR="00271E7E" w:rsidRDefault="00000000">
      <w:pPr>
        <w:pStyle w:val="a0"/>
        <w:spacing w:after="62"/>
        <w:rPr>
          <w:rFonts w:hint="eastAsia"/>
        </w:rPr>
      </w:pPr>
      <w:r>
        <w:rPr>
          <w:noProof/>
        </w:rPr>
        <w:lastRenderedPageBreak/>
        <w:drawing>
          <wp:inline distT="0" distB="0" distL="114300" distR="114300" wp14:anchorId="3CE53FCF" wp14:editId="41CDAF75">
            <wp:extent cx="5267325" cy="2834005"/>
            <wp:effectExtent l="0" t="0" r="5715" b="635"/>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19"/>
                    <a:stretch>
                      <a:fillRect/>
                    </a:stretch>
                  </pic:blipFill>
                  <pic:spPr>
                    <a:xfrm>
                      <a:off x="0" y="0"/>
                      <a:ext cx="5267325" cy="2834005"/>
                    </a:xfrm>
                    <a:prstGeom prst="rect">
                      <a:avLst/>
                    </a:prstGeom>
                    <a:noFill/>
                    <a:ln>
                      <a:noFill/>
                    </a:ln>
                  </pic:spPr>
                </pic:pic>
              </a:graphicData>
            </a:graphic>
          </wp:inline>
        </w:drawing>
      </w:r>
    </w:p>
    <w:p w14:paraId="65879C99" w14:textId="77777777" w:rsidR="00271E7E" w:rsidRDefault="00000000">
      <w:pPr>
        <w:pStyle w:val="a5"/>
        <w:spacing w:after="62"/>
        <w:rPr>
          <w:rFonts w:hint="eastAsia"/>
        </w:rPr>
      </w:pPr>
      <w:r>
        <w:t xml:space="preserve">图 </w:t>
      </w:r>
      <w:fldSimple w:instr=" STYLEREF 4 \s ">
        <w:r>
          <w:t>4.3.4.9</w:t>
        </w:r>
      </w:fldSimple>
      <w:r>
        <w:rPr>
          <w:rFonts w:hint="eastAsia"/>
        </w:rPr>
        <w:t>-</w:t>
      </w:r>
      <w:fldSimple w:instr=" SEQ 图 \* ARABIC \s 4 ">
        <w:r>
          <w:t>1</w:t>
        </w:r>
      </w:fldSimple>
      <w:r>
        <w:rPr>
          <w:rFonts w:hint="eastAsia"/>
        </w:rPr>
        <w:t>系统健康与安全</w:t>
      </w:r>
    </w:p>
    <w:p w14:paraId="1E8F8794" w14:textId="77777777" w:rsidR="00271E7E" w:rsidRDefault="00000000">
      <w:pPr>
        <w:pStyle w:val="4"/>
        <w:spacing w:before="156" w:after="62"/>
        <w:rPr>
          <w:rFonts w:hint="eastAsia"/>
        </w:rPr>
      </w:pPr>
      <w:r>
        <w:rPr>
          <w:rFonts w:hint="eastAsia"/>
        </w:rPr>
        <w:t>内置聊天：把“工具”变成“服务入口”</w:t>
      </w:r>
    </w:p>
    <w:p w14:paraId="0351051F" w14:textId="77777777" w:rsidR="00271E7E" w:rsidRDefault="00000000">
      <w:pPr>
        <w:spacing w:after="62"/>
        <w:rPr>
          <w:rFonts w:hint="eastAsia"/>
        </w:rPr>
      </w:pPr>
      <w:r>
        <w:rPr>
          <w:rFonts w:hint="eastAsia"/>
        </w:rPr>
        <w:t>Web 端内置聊天模块，支持联系人列表与会话窗口，使通知、指导、协作不必跳到外部平台。</w:t>
      </w:r>
    </w:p>
    <w:p w14:paraId="563E2D42" w14:textId="77777777" w:rsidR="00271E7E" w:rsidRDefault="00000000">
      <w:pPr>
        <w:pStyle w:val="a0"/>
        <w:spacing w:after="62"/>
        <w:rPr>
          <w:rFonts w:hint="eastAsia"/>
        </w:rPr>
      </w:pPr>
      <w:r>
        <w:rPr>
          <w:noProof/>
        </w:rPr>
        <w:drawing>
          <wp:inline distT="0" distB="0" distL="114300" distR="114300" wp14:anchorId="0AD0EB62" wp14:editId="0BE2B3D8">
            <wp:extent cx="5262245" cy="2486025"/>
            <wp:effectExtent l="0" t="0" r="10795" b="13335"/>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pic:cNvPicPr>
                  </pic:nvPicPr>
                  <pic:blipFill>
                    <a:blip r:embed="rId20"/>
                    <a:stretch>
                      <a:fillRect/>
                    </a:stretch>
                  </pic:blipFill>
                  <pic:spPr>
                    <a:xfrm>
                      <a:off x="0" y="0"/>
                      <a:ext cx="5262245" cy="2486025"/>
                    </a:xfrm>
                    <a:prstGeom prst="rect">
                      <a:avLst/>
                    </a:prstGeom>
                    <a:noFill/>
                    <a:ln>
                      <a:noFill/>
                    </a:ln>
                  </pic:spPr>
                </pic:pic>
              </a:graphicData>
            </a:graphic>
          </wp:inline>
        </w:drawing>
      </w:r>
    </w:p>
    <w:p w14:paraId="2A5B2342" w14:textId="77777777" w:rsidR="00271E7E" w:rsidRDefault="00000000">
      <w:pPr>
        <w:pStyle w:val="a5"/>
        <w:spacing w:after="62"/>
        <w:rPr>
          <w:rFonts w:hint="eastAsia"/>
        </w:rPr>
      </w:pPr>
      <w:r>
        <w:t xml:space="preserve">图 </w:t>
      </w:r>
      <w:fldSimple w:instr=" STYLEREF 4 \s ">
        <w:r>
          <w:t>4.3.4.10</w:t>
        </w:r>
      </w:fldSimple>
      <w:r>
        <w:rPr>
          <w:rFonts w:hint="eastAsia"/>
        </w:rPr>
        <w:t>-</w:t>
      </w:r>
      <w:fldSimple w:instr=" SEQ 图 \* ARABIC \s 4 ">
        <w:r>
          <w:t>1</w:t>
        </w:r>
      </w:fldSimple>
      <w:r>
        <w:rPr>
          <w:rFonts w:hint="eastAsia"/>
        </w:rPr>
        <w:t>聊天模块</w:t>
      </w:r>
    </w:p>
    <w:p w14:paraId="05646323" w14:textId="77777777" w:rsidR="00271E7E" w:rsidRDefault="00000000">
      <w:pPr>
        <w:pStyle w:val="4"/>
        <w:spacing w:before="156" w:after="62"/>
        <w:rPr>
          <w:rFonts w:hint="eastAsia"/>
        </w:rPr>
      </w:pPr>
      <w:r>
        <w:t>告警</w:t>
      </w:r>
      <w:r>
        <w:rPr>
          <w:rFonts w:hint="eastAsia"/>
        </w:rPr>
        <w:t>卡片：</w:t>
      </w:r>
      <w:r>
        <w:t>与消息更贴近</w:t>
      </w:r>
      <w:r>
        <w:t>“</w:t>
      </w:r>
      <w:r>
        <w:t>第一时间响应</w:t>
      </w:r>
      <w:r>
        <w:t>”</w:t>
      </w:r>
    </w:p>
    <w:p w14:paraId="773BE61E" w14:textId="77777777" w:rsidR="00271E7E" w:rsidRDefault="00000000">
      <w:pPr>
        <w:spacing w:after="62"/>
        <w:rPr>
          <w:rFonts w:hint="eastAsia"/>
        </w:rPr>
      </w:pPr>
      <w:r>
        <w:t>重要告警、设备状态、AI 建议等入口做成快捷区，同时提供消息/群组沟通能力，适合在问题发生的第一时间完成“收到—确认—请人协助/咨询”。</w:t>
      </w:r>
      <w:r>
        <w:br/>
      </w:r>
      <w:r>
        <w:rPr>
          <w:rFonts w:hint="eastAsia"/>
        </w:rPr>
        <w:tab/>
      </w:r>
      <w:r>
        <w:t>告警卡片采用“异常结论 + 关键数值 + 立即处置”的单屏设计：当系统识别到 CO₂ 浓度异常偏高（当前 1291 ppm） 时，会在顶部以醒目的倒计时提示告警触发后的响应窗口，同时给出一键操作按钮“开启风扇”，把建议直接转化为可执行动作，避免农户在紧急</w:t>
      </w:r>
      <w:r>
        <w:lastRenderedPageBreak/>
        <w:t>情况下还要去找控制入口；下方提供“忽略 1 小时 / 4 小时 / 24 小时 / 永久”的选项，用于适配不同管理策略（例如短时波动先观察、长期异常再干预），从而在“及时响应”与“减少误报干扰”之间取得平衡。</w:t>
      </w:r>
      <w:r>
        <w:rPr>
          <w:noProof/>
        </w:rPr>
        <w:drawing>
          <wp:inline distT="0" distB="0" distL="114300" distR="114300" wp14:anchorId="131A2383" wp14:editId="6CD11B59">
            <wp:extent cx="5264785" cy="1226185"/>
            <wp:effectExtent l="0" t="0" r="8255" b="8255"/>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21"/>
                    <a:stretch>
                      <a:fillRect/>
                    </a:stretch>
                  </pic:blipFill>
                  <pic:spPr>
                    <a:xfrm>
                      <a:off x="0" y="0"/>
                      <a:ext cx="5264785" cy="1226185"/>
                    </a:xfrm>
                    <a:prstGeom prst="rect">
                      <a:avLst/>
                    </a:prstGeom>
                    <a:noFill/>
                    <a:ln>
                      <a:noFill/>
                    </a:ln>
                  </pic:spPr>
                </pic:pic>
              </a:graphicData>
            </a:graphic>
          </wp:inline>
        </w:drawing>
      </w:r>
    </w:p>
    <w:p w14:paraId="4FF7F3C6" w14:textId="77777777" w:rsidR="00271E7E" w:rsidRDefault="00000000">
      <w:pPr>
        <w:pStyle w:val="a5"/>
        <w:spacing w:after="62"/>
        <w:rPr>
          <w:rFonts w:hint="eastAsia"/>
        </w:rPr>
      </w:pPr>
      <w:r>
        <w:t xml:space="preserve">图 </w:t>
      </w:r>
      <w:fldSimple w:instr=" STYLEREF 4 \s ">
        <w:r>
          <w:t>4.3.4.11</w:t>
        </w:r>
      </w:fldSimple>
      <w:r>
        <w:rPr>
          <w:rFonts w:hint="eastAsia"/>
        </w:rPr>
        <w:t>-</w:t>
      </w:r>
      <w:fldSimple w:instr=" SEQ 图 \* ARABIC \s 4 ">
        <w:r>
          <w:t>1</w:t>
        </w:r>
      </w:fldSimple>
      <w:r>
        <w:rPr>
          <w:rFonts w:hint="eastAsia"/>
        </w:rPr>
        <w:t>告警卡片</w:t>
      </w:r>
    </w:p>
    <w:p w14:paraId="764FDBE7" w14:textId="77777777" w:rsidR="00271E7E" w:rsidRDefault="00000000">
      <w:pPr>
        <w:pStyle w:val="3"/>
        <w:spacing w:before="156" w:after="62"/>
        <w:rPr>
          <w:rFonts w:hint="eastAsia"/>
        </w:rPr>
      </w:pPr>
      <w:r>
        <w:t>移动端（App）：把 Web 的“全功能”做成农户随身的“快操作 + 快决策”</w:t>
      </w:r>
    </w:p>
    <w:p w14:paraId="70B4191D" w14:textId="77777777" w:rsidR="00271E7E" w:rsidRDefault="00000000">
      <w:pPr>
        <w:spacing w:after="62"/>
        <w:rPr>
          <w:rFonts w:hint="eastAsia"/>
        </w:rPr>
      </w:pPr>
      <w:r>
        <w:t>在 Web 端完成“监测—分析—控制—协作”闭环的基础上，为了更贴合农户高频、碎片化的使用场景（巡棚、在路上、临时告警处理），我们同步适配了移动端 App，使核心流程能够在手机上以更短路径完成：一眼看状态、一步做分析、两步下控制、随时接告警。</w:t>
      </w:r>
    </w:p>
    <w:p w14:paraId="48345277" w14:textId="77777777" w:rsidR="00271E7E" w:rsidRDefault="00000000">
      <w:pPr>
        <w:pStyle w:val="a0"/>
        <w:spacing w:after="62"/>
        <w:rPr>
          <w:rFonts w:hint="eastAsia"/>
        </w:rPr>
      </w:pPr>
      <w:r>
        <w:rPr>
          <w:rFonts w:hint="eastAsia"/>
          <w:noProof/>
        </w:rPr>
        <w:drawing>
          <wp:inline distT="0" distB="0" distL="114300" distR="114300" wp14:anchorId="2D131F77" wp14:editId="51AAF511">
            <wp:extent cx="5262880" cy="3947160"/>
            <wp:effectExtent l="0" t="0" r="10160" b="0"/>
            <wp:docPr id="41" name="图片 41" descr="814af292fd2e974659799699966fe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14af292fd2e974659799699966fe24e"/>
                    <pic:cNvPicPr>
                      <a:picLocks noChangeAspect="1"/>
                    </pic:cNvPicPr>
                  </pic:nvPicPr>
                  <pic:blipFill>
                    <a:blip r:embed="rId22"/>
                    <a:stretch>
                      <a:fillRect/>
                    </a:stretch>
                  </pic:blipFill>
                  <pic:spPr>
                    <a:xfrm>
                      <a:off x="0" y="0"/>
                      <a:ext cx="5262880" cy="3947160"/>
                    </a:xfrm>
                    <a:prstGeom prst="rect">
                      <a:avLst/>
                    </a:prstGeom>
                  </pic:spPr>
                </pic:pic>
              </a:graphicData>
            </a:graphic>
          </wp:inline>
        </w:drawing>
      </w:r>
    </w:p>
    <w:p w14:paraId="1A4C6C7C" w14:textId="77777777" w:rsidR="00271E7E" w:rsidRDefault="00000000">
      <w:pPr>
        <w:pStyle w:val="a5"/>
        <w:spacing w:after="62"/>
        <w:rPr>
          <w:rFonts w:hint="eastAsia"/>
          <w:position w:val="-58"/>
        </w:rPr>
      </w:pPr>
      <w:r>
        <w:t xml:space="preserve">图 </w:t>
      </w:r>
      <w:fldSimple w:instr=" STYLEREF 4 \s ">
        <w:r>
          <w:t>4.3.4.11</w:t>
        </w:r>
      </w:fldSimple>
      <w:r>
        <w:rPr>
          <w:rFonts w:hint="eastAsia"/>
        </w:rPr>
        <w:t>-</w:t>
      </w:r>
      <w:fldSimple w:instr=" SEQ 图 \* ARABIC \s 4 ">
        <w:r>
          <w:t>2</w:t>
        </w:r>
      </w:fldSimple>
      <w:r>
        <w:t>移动端（App）</w:t>
      </w:r>
      <w:r>
        <w:rPr>
          <w:rFonts w:hint="eastAsia"/>
        </w:rPr>
        <w:t>一览</w:t>
      </w:r>
    </w:p>
    <w:p w14:paraId="00EA8EF1" w14:textId="77777777" w:rsidR="00271E7E" w:rsidRDefault="00000000">
      <w:pPr>
        <w:pStyle w:val="3"/>
        <w:spacing w:before="156" w:after="62"/>
        <w:rPr>
          <w:rFonts w:hint="eastAsia"/>
        </w:rPr>
      </w:pPr>
      <w:r>
        <w:t>软件安全性：可控、可追溯、可替换的国产化路径</w:t>
      </w:r>
    </w:p>
    <w:p w14:paraId="417A6860" w14:textId="77777777" w:rsidR="00271E7E" w:rsidRDefault="00000000">
      <w:pPr>
        <w:spacing w:after="62"/>
        <w:rPr>
          <w:rFonts w:hint="eastAsia"/>
        </w:rPr>
      </w:pPr>
      <w:r>
        <w:lastRenderedPageBreak/>
        <w:t>在农业场景中，系统安全的核心不是“炫”，而是三件事：数据可信、操作可追溯、平台可持续运行。同时，对标国家信创方向，我们强调“关键能力国产化可替换、关键链路自主可控”。</w:t>
      </w:r>
    </w:p>
    <w:p w14:paraId="100306E4" w14:textId="77777777" w:rsidR="00271E7E" w:rsidRDefault="00000000">
      <w:pPr>
        <w:pStyle w:val="4"/>
        <w:spacing w:before="156" w:after="62"/>
        <w:rPr>
          <w:rFonts w:hint="eastAsia"/>
        </w:rPr>
      </w:pPr>
      <w:r>
        <w:t>数据链路可信：传输加密</w:t>
      </w:r>
      <w:r>
        <w:t xml:space="preserve"> + </w:t>
      </w:r>
      <w:r>
        <w:t>身份鉴别</w:t>
      </w:r>
      <w:r>
        <w:t xml:space="preserve"> + </w:t>
      </w:r>
      <w:r>
        <w:t>最小权限</w:t>
      </w:r>
    </w:p>
    <w:p w14:paraId="5F2C19DD" w14:textId="77777777" w:rsidR="00271E7E" w:rsidRDefault="00000000">
      <w:pPr>
        <w:spacing w:after="62"/>
        <w:rPr>
          <w:rFonts w:hint="eastAsia"/>
        </w:rPr>
      </w:pPr>
      <w:r>
        <w:t>平台端建议全链路启用 HTTPS/TLS 加密传输，设备侧通信采用具备鉴权机制的 MQTT 通道，并以 Token/密钥方式对设备与用户进行身份鉴别，避免“谁都能连、谁都能控”的风险。</w:t>
      </w:r>
      <w:r>
        <w:br/>
        <w:t>权限管理采用角色/分区授权（例如按棚区、按设备），让用户只看到/只控制自己权限范围内的资源，减少误操作与越权风险。</w:t>
      </w:r>
    </w:p>
    <w:p w14:paraId="39E9269A" w14:textId="77777777" w:rsidR="00271E7E" w:rsidRDefault="00000000">
      <w:pPr>
        <w:pStyle w:val="4"/>
        <w:spacing w:before="156" w:after="62"/>
        <w:rPr>
          <w:rFonts w:hint="eastAsia"/>
        </w:rPr>
      </w:pPr>
      <w:r>
        <w:t>操作可追溯：日志留痕</w:t>
      </w:r>
      <w:r>
        <w:t xml:space="preserve"> + </w:t>
      </w:r>
      <w:r>
        <w:t>告警闭环</w:t>
      </w:r>
      <w:r>
        <w:t xml:space="preserve"> + </w:t>
      </w:r>
      <w:r>
        <w:t>审计可查询</w:t>
      </w:r>
    </w:p>
    <w:p w14:paraId="407AAA54" w14:textId="77777777" w:rsidR="00271E7E" w:rsidRDefault="00000000">
      <w:pPr>
        <w:spacing w:after="62"/>
        <w:rPr>
          <w:rFonts w:hint="eastAsia"/>
        </w:rPr>
      </w:pPr>
      <w:r>
        <w:t>从 Web 端截图可以看到系统具备操作日志与活动记录的呈现方式；这类能力建议进一步沉淀为审计机制：包括关键开关动作、参数变更、告警确认、模型识别结果与处置建议记录。</w:t>
      </w:r>
      <w:r>
        <w:br/>
        <w:t>它带来的价值是“出了问题能复盘”：谁在什么时候动了哪个设备、是否触发告警、是否按建议处置，都有据可查。</w:t>
      </w:r>
    </w:p>
    <w:p w14:paraId="3CE51DD3" w14:textId="77777777" w:rsidR="00271E7E" w:rsidRDefault="00000000">
      <w:pPr>
        <w:pStyle w:val="4"/>
        <w:spacing w:before="156" w:after="62"/>
        <w:rPr>
          <w:rFonts w:hint="eastAsia"/>
        </w:rPr>
      </w:pPr>
      <w:r>
        <w:t>系统可用性：健康监测</w:t>
      </w:r>
      <w:r>
        <w:t xml:space="preserve"> + </w:t>
      </w:r>
      <w:r>
        <w:t>异常降级</w:t>
      </w:r>
      <w:r>
        <w:t xml:space="preserve"> + </w:t>
      </w:r>
      <w:r>
        <w:t>备份恢复</w:t>
      </w:r>
    </w:p>
    <w:p w14:paraId="3CB6022B" w14:textId="77777777" w:rsidR="00271E7E" w:rsidRDefault="00000000">
      <w:pPr>
        <w:spacing w:after="62"/>
        <w:rPr>
          <w:rFonts w:hint="eastAsia"/>
        </w:rPr>
      </w:pPr>
      <w:r>
        <w:t>平台提供系统在线状态、接口延迟、数据库连接稳定性等健康指标视图，建议配合告警策略实现异常预警；当网络波动或设备离线时，系统应保持安全降级（例如只读、保留最后值、禁止危险控制），并提供数据备份与恢复机制，保证种植关键期稳定运行。</w:t>
      </w:r>
    </w:p>
    <w:p w14:paraId="2D7DEF48" w14:textId="77777777" w:rsidR="00271E7E" w:rsidRDefault="00000000">
      <w:pPr>
        <w:pStyle w:val="1"/>
        <w:spacing w:before="312" w:after="62" w:line="240" w:lineRule="auto"/>
        <w:rPr>
          <w:rFonts w:hint="eastAsia"/>
        </w:rPr>
      </w:pPr>
      <w:bookmarkStart w:id="12" w:name="_Toc27387"/>
      <w:r>
        <w:t xml:space="preserve">4P </w:t>
      </w:r>
      <w:r>
        <w:t>营销组合策略</w:t>
      </w:r>
      <w:bookmarkEnd w:id="12"/>
    </w:p>
    <w:p w14:paraId="535177D2" w14:textId="77777777" w:rsidR="00271E7E" w:rsidRDefault="00000000">
      <w:pPr>
        <w:spacing w:after="62"/>
        <w:rPr>
          <w:rFonts w:hint="eastAsia"/>
        </w:rPr>
      </w:pPr>
      <w:r>
        <w:t>面向中小草莓种植户，4P策略的总体方向是：产品强调“易学易用+可靠耐用+真实增收”，价格强调“补贴叠加后可负担+算得清回本”，渠道强调“离农户更近、有人教有人管”，促销强调“看得见效果、敢试用、有人带着用”。</w:t>
      </w:r>
    </w:p>
    <w:p w14:paraId="776E84E2" w14:textId="77777777" w:rsidR="00271E7E" w:rsidRDefault="00000000">
      <w:pPr>
        <w:pStyle w:val="a5"/>
        <w:spacing w:after="62"/>
        <w:rPr>
          <w:rFonts w:hint="eastAsia"/>
        </w:rPr>
      </w:pPr>
      <w:r>
        <w:t xml:space="preserve">表 </w:t>
      </w:r>
      <w:fldSimple w:instr=" STYLEREF 4 \s ">
        <w:r>
          <w:t>4.3.6.3</w:t>
        </w:r>
      </w:fldSimple>
      <w:r>
        <w:rPr>
          <w:rFonts w:hint="eastAsia"/>
        </w:rPr>
        <w:t>-</w:t>
      </w:r>
      <w:fldSimple w:instr=" SEQ 表 \* ARABIC \s 4 ">
        <w:r>
          <w:t>1</w:t>
        </w:r>
      </w:fldSimple>
      <w:r>
        <w:rPr>
          <w:rFonts w:hint="eastAsia"/>
        </w:rPr>
        <w:t xml:space="preserve"> 4P 营销组合策略</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79"/>
        <w:gridCol w:w="1701"/>
        <w:gridCol w:w="3276"/>
        <w:gridCol w:w="1620"/>
      </w:tblGrid>
      <w:tr w:rsidR="00271E7E" w14:paraId="4FD618EC" w14:textId="77777777">
        <w:trPr>
          <w:tblHeader/>
          <w:tblCellSpacing w:w="15" w:type="dxa"/>
        </w:trPr>
        <w:tc>
          <w:tcPr>
            <w:tcW w:w="988" w:type="pct"/>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65ECCAE2" w14:textId="77777777" w:rsidR="00271E7E" w:rsidRDefault="00000000">
            <w:pPr>
              <w:pStyle w:val="a0"/>
              <w:spacing w:after="62"/>
              <w:rPr>
                <w:rFonts w:hint="eastAsia"/>
              </w:rPr>
            </w:pPr>
            <w:r>
              <w:t>4P</w:t>
            </w:r>
          </w:p>
        </w:tc>
        <w:tc>
          <w:tcPr>
            <w:tcW w:w="1009" w:type="pct"/>
            <w:tcBorders>
              <w:top w:val="single" w:sz="12" w:space="0" w:color="000000"/>
              <w:left w:val="single" w:sz="4" w:space="0" w:color="000000"/>
              <w:bottom w:val="single" w:sz="4" w:space="0" w:color="000000"/>
              <w:right w:val="single" w:sz="4" w:space="0" w:color="000000"/>
            </w:tcBorders>
            <w:shd w:val="clear" w:color="auto" w:fill="FFFFFF"/>
            <w:vAlign w:val="center"/>
          </w:tcPr>
          <w:p w14:paraId="483038D0" w14:textId="77777777" w:rsidR="00271E7E" w:rsidRDefault="00000000">
            <w:pPr>
              <w:pStyle w:val="a0"/>
              <w:spacing w:after="62"/>
              <w:rPr>
                <w:rFonts w:hint="eastAsia"/>
              </w:rPr>
            </w:pPr>
            <w:r>
              <w:t>核心主张</w:t>
            </w:r>
          </w:p>
        </w:tc>
        <w:tc>
          <w:tcPr>
            <w:tcW w:w="1961" w:type="pct"/>
            <w:tcBorders>
              <w:top w:val="single" w:sz="12" w:space="0" w:color="000000"/>
              <w:left w:val="single" w:sz="4" w:space="0" w:color="000000"/>
              <w:bottom w:val="single" w:sz="4" w:space="0" w:color="000000"/>
              <w:right w:val="single" w:sz="4" w:space="0" w:color="000000"/>
            </w:tcBorders>
            <w:shd w:val="clear" w:color="auto" w:fill="FFFFFF"/>
            <w:vAlign w:val="center"/>
          </w:tcPr>
          <w:p w14:paraId="7D004EF0" w14:textId="77777777" w:rsidR="00271E7E" w:rsidRDefault="00000000">
            <w:pPr>
              <w:pStyle w:val="a0"/>
              <w:spacing w:after="62"/>
              <w:rPr>
                <w:rFonts w:hint="eastAsia"/>
              </w:rPr>
            </w:pPr>
            <w:r>
              <w:t>关键动作（落地做法）</w:t>
            </w:r>
          </w:p>
        </w:tc>
        <w:tc>
          <w:tcPr>
            <w:tcW w:w="951" w:type="pct"/>
            <w:tcBorders>
              <w:top w:val="single" w:sz="12" w:space="0" w:color="000000"/>
              <w:left w:val="single" w:sz="4" w:space="0" w:color="000000"/>
              <w:bottom w:val="single" w:sz="4" w:space="0" w:color="000000"/>
              <w:right w:val="single" w:sz="12" w:space="0" w:color="000000"/>
            </w:tcBorders>
            <w:shd w:val="clear" w:color="auto" w:fill="FFFFFF"/>
            <w:vAlign w:val="center"/>
          </w:tcPr>
          <w:p w14:paraId="0FE1430E" w14:textId="77777777" w:rsidR="00271E7E" w:rsidRDefault="00000000">
            <w:pPr>
              <w:pStyle w:val="a0"/>
              <w:spacing w:after="62"/>
              <w:rPr>
                <w:rFonts w:hint="eastAsia"/>
              </w:rPr>
            </w:pPr>
            <w:r>
              <w:t>农户直观收益</w:t>
            </w:r>
          </w:p>
        </w:tc>
      </w:tr>
      <w:tr w:rsidR="00271E7E" w14:paraId="1BDF84AE" w14:textId="77777777">
        <w:trPr>
          <w:tblCellSpacing w:w="15" w:type="dxa"/>
        </w:trPr>
        <w:tc>
          <w:tcPr>
            <w:tcW w:w="988"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6386EF59" w14:textId="77777777" w:rsidR="00271E7E" w:rsidRDefault="00000000">
            <w:pPr>
              <w:pStyle w:val="a0"/>
              <w:spacing w:after="62"/>
              <w:rPr>
                <w:rFonts w:hint="eastAsia"/>
              </w:rPr>
            </w:pPr>
            <w:r>
              <w:t>Product 产品</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990C76" w14:textId="77777777" w:rsidR="00271E7E" w:rsidRDefault="00000000">
            <w:pPr>
              <w:pStyle w:val="a0"/>
              <w:spacing w:after="62"/>
              <w:rPr>
                <w:rFonts w:hint="eastAsia"/>
              </w:rPr>
            </w:pPr>
            <w:r>
              <w:t>易用、可靠、真正帮到种植决策</w:t>
            </w:r>
          </w:p>
        </w:tc>
        <w:tc>
          <w:tcPr>
            <w:tcW w:w="19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7FF09E" w14:textId="77777777" w:rsidR="00271E7E" w:rsidRDefault="00000000">
            <w:pPr>
              <w:pStyle w:val="a0"/>
              <w:spacing w:after="62"/>
              <w:rPr>
                <w:rFonts w:hint="eastAsia"/>
              </w:rPr>
            </w:pPr>
            <w:r>
              <w:t>关键指标卡片化/一键分析/一键控制；告警可直接联动风扇、灌溉、补光；操作日志可追溯；标准化安装+</w:t>
            </w:r>
            <w:r>
              <w:lastRenderedPageBreak/>
              <w:t>巡检+远程支持</w:t>
            </w:r>
          </w:p>
        </w:tc>
        <w:tc>
          <w:tcPr>
            <w:tcW w:w="951"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033ED0DE" w14:textId="77777777" w:rsidR="00271E7E" w:rsidRDefault="00000000">
            <w:pPr>
              <w:pStyle w:val="a0"/>
              <w:spacing w:after="62"/>
              <w:rPr>
                <w:rFonts w:hint="eastAsia"/>
              </w:rPr>
            </w:pPr>
            <w:r>
              <w:lastRenderedPageBreak/>
              <w:t>少跑棚、少误判、敢用不怕坏，管理更省心</w:t>
            </w:r>
          </w:p>
        </w:tc>
      </w:tr>
      <w:tr w:rsidR="00271E7E" w14:paraId="6B28A32E" w14:textId="77777777">
        <w:trPr>
          <w:tblCellSpacing w:w="15" w:type="dxa"/>
        </w:trPr>
        <w:tc>
          <w:tcPr>
            <w:tcW w:w="988"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68F1CB3F" w14:textId="77777777" w:rsidR="00271E7E" w:rsidRDefault="00000000">
            <w:pPr>
              <w:pStyle w:val="a0"/>
              <w:spacing w:after="62"/>
              <w:rPr>
                <w:rFonts w:hint="eastAsia"/>
              </w:rPr>
            </w:pPr>
            <w:r>
              <w:t>Price 价格</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0F1E09" w14:textId="77777777" w:rsidR="00271E7E" w:rsidRDefault="00000000">
            <w:pPr>
              <w:pStyle w:val="a0"/>
              <w:spacing w:after="62"/>
              <w:rPr>
                <w:rFonts w:hint="eastAsia"/>
              </w:rPr>
            </w:pPr>
            <w:r>
              <w:t>“补贴后到手价”可承受，“回本账”算得清</w:t>
            </w:r>
          </w:p>
        </w:tc>
        <w:tc>
          <w:tcPr>
            <w:tcW w:w="19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FFF332" w14:textId="77777777" w:rsidR="00271E7E" w:rsidRDefault="00000000">
            <w:pPr>
              <w:pStyle w:val="a0"/>
              <w:spacing w:after="62"/>
              <w:rPr>
                <w:rFonts w:hint="eastAsia"/>
              </w:rPr>
            </w:pPr>
            <w:r>
              <w:t>分层套餐（入门/标准/增强）+可选模块；补贴叠加展示“净投入”；提供成本效益测算模板（增收+节本→回收期）</w:t>
            </w:r>
          </w:p>
        </w:tc>
        <w:tc>
          <w:tcPr>
            <w:tcW w:w="951"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73219A48" w14:textId="77777777" w:rsidR="00271E7E" w:rsidRDefault="00000000">
            <w:pPr>
              <w:pStyle w:val="a0"/>
              <w:spacing w:after="62"/>
              <w:rPr>
                <w:rFonts w:hint="eastAsia"/>
              </w:rPr>
            </w:pPr>
            <w:r>
              <w:t>预算可控、投入透明，知道多久能回本</w:t>
            </w:r>
          </w:p>
        </w:tc>
      </w:tr>
      <w:tr w:rsidR="00271E7E" w14:paraId="62A33D42" w14:textId="77777777">
        <w:trPr>
          <w:tblCellSpacing w:w="15" w:type="dxa"/>
        </w:trPr>
        <w:tc>
          <w:tcPr>
            <w:tcW w:w="988"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110912A0" w14:textId="77777777" w:rsidR="00271E7E" w:rsidRDefault="00000000">
            <w:pPr>
              <w:pStyle w:val="a0"/>
              <w:spacing w:after="62"/>
              <w:rPr>
                <w:rFonts w:hint="eastAsia"/>
              </w:rPr>
            </w:pPr>
            <w:r>
              <w:t>Place 渠道</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1C41CB" w14:textId="77777777" w:rsidR="00271E7E" w:rsidRDefault="00000000">
            <w:pPr>
              <w:pStyle w:val="a0"/>
              <w:spacing w:after="62"/>
              <w:rPr>
                <w:rFonts w:hint="eastAsia"/>
              </w:rPr>
            </w:pPr>
            <w:r>
              <w:t>贴近用户的服务型渠道</w:t>
            </w:r>
          </w:p>
        </w:tc>
        <w:tc>
          <w:tcPr>
            <w:tcW w:w="19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14CF07" w14:textId="77777777" w:rsidR="00271E7E" w:rsidRDefault="00000000">
            <w:pPr>
              <w:pStyle w:val="a0"/>
              <w:spacing w:after="62"/>
              <w:rPr>
                <w:rFonts w:hint="eastAsia"/>
              </w:rPr>
            </w:pPr>
            <w:r>
              <w:t>合作社/家庭农场团购部署；对接农技站联合推广；设村级服务点/驻点合伙人；示范基地辐射周边</w:t>
            </w:r>
          </w:p>
        </w:tc>
        <w:tc>
          <w:tcPr>
            <w:tcW w:w="951"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185727EC" w14:textId="77777777" w:rsidR="00271E7E" w:rsidRDefault="00000000">
            <w:pPr>
              <w:pStyle w:val="a0"/>
              <w:spacing w:after="62"/>
              <w:rPr>
                <w:rFonts w:hint="eastAsia"/>
              </w:rPr>
            </w:pPr>
            <w:r>
              <w:t>买得到、装得上、有人教、坏了有人管</w:t>
            </w:r>
          </w:p>
        </w:tc>
      </w:tr>
      <w:tr w:rsidR="00271E7E" w14:paraId="26FE03B0" w14:textId="77777777">
        <w:trPr>
          <w:tblCellSpacing w:w="15" w:type="dxa"/>
        </w:trPr>
        <w:tc>
          <w:tcPr>
            <w:tcW w:w="988" w:type="pct"/>
            <w:tcBorders>
              <w:top w:val="single" w:sz="4" w:space="0" w:color="000000"/>
              <w:left w:val="single" w:sz="12" w:space="0" w:color="000000"/>
              <w:bottom w:val="single" w:sz="12" w:space="0" w:color="000000"/>
              <w:right w:val="single" w:sz="4" w:space="0" w:color="000000"/>
            </w:tcBorders>
            <w:shd w:val="clear" w:color="auto" w:fill="FFFFFF"/>
            <w:vAlign w:val="center"/>
          </w:tcPr>
          <w:p w14:paraId="2B71F37B" w14:textId="77777777" w:rsidR="00271E7E" w:rsidRDefault="00000000">
            <w:pPr>
              <w:pStyle w:val="a0"/>
              <w:spacing w:after="62"/>
              <w:rPr>
                <w:rFonts w:hint="eastAsia"/>
              </w:rPr>
            </w:pPr>
            <w:r>
              <w:t>Promotion 促销</w:t>
            </w:r>
          </w:p>
        </w:tc>
        <w:tc>
          <w:tcPr>
            <w:tcW w:w="1009"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4D967BBE" w14:textId="77777777" w:rsidR="00271E7E" w:rsidRDefault="00000000">
            <w:pPr>
              <w:pStyle w:val="a0"/>
              <w:spacing w:after="62"/>
              <w:rPr>
                <w:rFonts w:hint="eastAsia"/>
              </w:rPr>
            </w:pPr>
            <w:r>
              <w:t>用“看见效果”替代“听宣传”</w:t>
            </w:r>
          </w:p>
        </w:tc>
        <w:tc>
          <w:tcPr>
            <w:tcW w:w="1961"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2115FB7F" w14:textId="77777777" w:rsidR="00271E7E" w:rsidRDefault="00000000">
            <w:pPr>
              <w:pStyle w:val="a0"/>
              <w:spacing w:after="62"/>
              <w:rPr>
                <w:rFonts w:hint="eastAsia"/>
              </w:rPr>
            </w:pPr>
            <w:r>
              <w:t>示范基地观摩（对比效果）；7–30天免费试用/先用后买；农民培训（短课+实操SOP）；老带新激励（服务延长/耗材优惠）</w:t>
            </w:r>
          </w:p>
        </w:tc>
        <w:tc>
          <w:tcPr>
            <w:tcW w:w="951" w:type="pct"/>
            <w:tcBorders>
              <w:top w:val="single" w:sz="4" w:space="0" w:color="000000"/>
              <w:left w:val="single" w:sz="4" w:space="0" w:color="000000"/>
              <w:bottom w:val="single" w:sz="12" w:space="0" w:color="000000"/>
              <w:right w:val="single" w:sz="12" w:space="0" w:color="000000"/>
            </w:tcBorders>
            <w:shd w:val="clear" w:color="auto" w:fill="FFFFFF"/>
            <w:vAlign w:val="center"/>
          </w:tcPr>
          <w:p w14:paraId="635DF7F3" w14:textId="77777777" w:rsidR="00271E7E" w:rsidRDefault="00000000">
            <w:pPr>
              <w:pStyle w:val="a0"/>
              <w:spacing w:after="62"/>
              <w:rPr>
                <w:rFonts w:hint="eastAsia"/>
              </w:rPr>
            </w:pPr>
            <w:r>
              <w:t>先验证再决策，学得会用得稳，口碑带动更放心</w:t>
            </w:r>
          </w:p>
        </w:tc>
      </w:tr>
    </w:tbl>
    <w:p w14:paraId="79E04BAE" w14:textId="77777777" w:rsidR="00271E7E" w:rsidRDefault="00271E7E">
      <w:pPr>
        <w:spacing w:after="62" w:line="240" w:lineRule="auto"/>
        <w:ind w:firstLineChars="0" w:firstLine="0"/>
        <w:rPr>
          <w:rFonts w:hint="eastAsia"/>
        </w:rPr>
      </w:pPr>
    </w:p>
    <w:p w14:paraId="2CC43CC3" w14:textId="77777777" w:rsidR="00271E7E" w:rsidRDefault="00000000">
      <w:pPr>
        <w:pStyle w:val="1"/>
        <w:spacing w:before="312" w:after="62" w:line="240" w:lineRule="auto"/>
        <w:rPr>
          <w:rFonts w:hint="eastAsia"/>
        </w:rPr>
      </w:pPr>
      <w:r>
        <w:rPr>
          <w:rFonts w:hint="eastAsia"/>
        </w:rPr>
        <w:t xml:space="preserve"> </w:t>
      </w:r>
      <w:bookmarkStart w:id="13" w:name="_Toc10763"/>
      <w:r>
        <w:rPr>
          <w:rFonts w:hint="eastAsia"/>
        </w:rPr>
        <w:t>商业模式</w:t>
      </w:r>
      <w:bookmarkEnd w:id="13"/>
    </w:p>
    <w:p w14:paraId="7F5BC3B3" w14:textId="77777777" w:rsidR="00271E7E" w:rsidRDefault="00000000">
      <w:pPr>
        <w:spacing w:after="62"/>
        <w:rPr>
          <w:rFonts w:hint="eastAsia"/>
        </w:rPr>
      </w:pPr>
      <w:r>
        <w:rPr>
          <w:rFonts w:hint="eastAsia"/>
        </w:rPr>
        <w:t>Stravision 莓界以“硬件交付切入 + 软件订阅沉淀 + 服务增值稳收 + 数据能力放大”形成清晰盈利路径：前期用标准化硬件套装快速铺设用户与场景，中期以平台订阅与运维培训建立持续收入，后期在规模数据与行业协同基础上拓展数据增值与品牌合作，实现收入结构从“一次性销售”转向“长期复购与高附加值”。整个模式可在不同地区、不同棚型快速复制，商业增长与农户增收、农业现代化目标同向一致。</w:t>
      </w:r>
      <w:r>
        <w:rPr>
          <w:rFonts w:hint="eastAsia"/>
          <w:noProof/>
        </w:rPr>
        <w:drawing>
          <wp:inline distT="0" distB="0" distL="114300" distR="114300" wp14:anchorId="2688690A" wp14:editId="5A3272A2">
            <wp:extent cx="5268595" cy="2385060"/>
            <wp:effectExtent l="0" t="0" r="4445" b="7620"/>
            <wp:docPr id="39" name="图片 39" descr="Stravision莓界商业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travision莓界商业模式"/>
                    <pic:cNvPicPr>
                      <a:picLocks noChangeAspect="1"/>
                    </pic:cNvPicPr>
                  </pic:nvPicPr>
                  <pic:blipFill>
                    <a:blip r:embed="rId23"/>
                    <a:srcRect t="18894"/>
                    <a:stretch>
                      <a:fillRect/>
                    </a:stretch>
                  </pic:blipFill>
                  <pic:spPr>
                    <a:xfrm>
                      <a:off x="0" y="0"/>
                      <a:ext cx="5268595" cy="2385060"/>
                    </a:xfrm>
                    <a:prstGeom prst="rect">
                      <a:avLst/>
                    </a:prstGeom>
                  </pic:spPr>
                </pic:pic>
              </a:graphicData>
            </a:graphic>
          </wp:inline>
        </w:drawing>
      </w:r>
    </w:p>
    <w:p w14:paraId="7E6FB970" w14:textId="77777777" w:rsidR="00271E7E" w:rsidRDefault="00000000">
      <w:pPr>
        <w:pStyle w:val="a5"/>
        <w:spacing w:after="62"/>
        <w:rPr>
          <w:rFonts w:hint="eastAsia"/>
        </w:rPr>
      </w:pPr>
      <w:r>
        <w:t xml:space="preserve">图 </w:t>
      </w:r>
      <w:fldSimple w:instr=" STYLEREF 4 \s ">
        <w:r>
          <w:t>4.3.6.3</w:t>
        </w:r>
      </w:fldSimple>
      <w:r>
        <w:rPr>
          <w:rFonts w:hint="eastAsia"/>
        </w:rPr>
        <w:t>-</w:t>
      </w:r>
      <w:fldSimple w:instr=" SEQ 图 \* ARABIC \s 4 ">
        <w:r>
          <w:t>1</w:t>
        </w:r>
      </w:fldSimple>
      <w:r>
        <w:rPr>
          <w:rFonts w:hint="eastAsia"/>
        </w:rPr>
        <w:t xml:space="preserve"> Stravision莓界商业模式</w:t>
      </w:r>
    </w:p>
    <w:p w14:paraId="1F29F101" w14:textId="77777777" w:rsidR="00271E7E" w:rsidRDefault="00000000">
      <w:pPr>
        <w:pStyle w:val="1"/>
        <w:spacing w:before="312" w:after="62" w:line="240" w:lineRule="auto"/>
        <w:rPr>
          <w:rFonts w:hint="eastAsia"/>
        </w:rPr>
      </w:pPr>
      <w:bookmarkStart w:id="14" w:name="_Toc32431"/>
      <w:r>
        <w:rPr>
          <w:rFonts w:hint="eastAsia"/>
        </w:rPr>
        <w:lastRenderedPageBreak/>
        <w:t>财务规划</w:t>
      </w:r>
      <w:bookmarkEnd w:id="14"/>
    </w:p>
    <w:p w14:paraId="270F7BD2" w14:textId="77777777" w:rsidR="00271E7E" w:rsidRDefault="00000000">
      <w:pPr>
        <w:pStyle w:val="2"/>
        <w:spacing w:before="156" w:after="62"/>
        <w:rPr>
          <w:rFonts w:hint="eastAsia"/>
        </w:rPr>
      </w:pPr>
      <w:bookmarkStart w:id="15" w:name="_Toc14973"/>
      <w:r>
        <w:rPr>
          <w:rFonts w:hint="eastAsia"/>
        </w:rPr>
        <w:t>收入预测逻辑：从“卖设备”走向“卖持续服务”</w:t>
      </w:r>
      <w:bookmarkEnd w:id="15"/>
    </w:p>
    <w:p w14:paraId="180DF392" w14:textId="77777777" w:rsidR="00271E7E" w:rsidRDefault="00000000">
      <w:pPr>
        <w:spacing w:after="62"/>
        <w:rPr>
          <w:rFonts w:hint="eastAsia"/>
        </w:rPr>
      </w:pPr>
      <w:r>
        <w:rPr>
          <w:rFonts w:hint="eastAsia"/>
        </w:rPr>
        <w:t>Stravision 的收入以“硬件切入 + 软件订阅沉淀 + 服务增值稳收 + 数据能力放大”的路径演进：</w:t>
      </w:r>
    </w:p>
    <w:p w14:paraId="6A45D811" w14:textId="77777777" w:rsidR="00271E7E" w:rsidRDefault="00000000">
      <w:pPr>
        <w:spacing w:after="62"/>
        <w:rPr>
          <w:rFonts w:hint="eastAsia"/>
        </w:rPr>
      </w:pPr>
      <w:r>
        <w:rPr>
          <w:rFonts w:hint="eastAsia"/>
        </w:rPr>
        <w:t>2026–2027（产品驱动）：硬件销售约占70%，服务收入约占30%；</w:t>
      </w:r>
    </w:p>
    <w:p w14:paraId="147EEE94" w14:textId="77777777" w:rsidR="00271E7E" w:rsidRDefault="00000000">
      <w:pPr>
        <w:spacing w:after="62"/>
        <w:rPr>
          <w:rFonts w:hint="eastAsia"/>
        </w:rPr>
      </w:pPr>
      <w:r>
        <w:rPr>
          <w:rFonts w:hint="eastAsia"/>
        </w:rPr>
        <w:t>2028–2029（服务驱动）：硬件与服务/增值业务占比约50% : 50%；</w:t>
      </w:r>
    </w:p>
    <w:p w14:paraId="6493548B" w14:textId="77777777" w:rsidR="00271E7E" w:rsidRDefault="00000000">
      <w:pPr>
        <w:spacing w:after="62"/>
        <w:rPr>
          <w:rFonts w:hint="eastAsia"/>
        </w:rPr>
      </w:pPr>
      <w:r>
        <w:rPr>
          <w:rFonts w:hint="eastAsia"/>
        </w:rPr>
        <w:t>2030（数据+品牌驱动）：硬件占比约30%，数据服务与品牌相关收入约占70%。</w:t>
      </w:r>
    </w:p>
    <w:p w14:paraId="031F3BDB" w14:textId="77777777" w:rsidR="00271E7E" w:rsidRDefault="00000000">
      <w:pPr>
        <w:spacing w:after="62"/>
        <w:rPr>
          <w:rFonts w:hint="eastAsia"/>
        </w:rPr>
      </w:pPr>
      <w:r>
        <w:rPr>
          <w:rFonts w:hint="eastAsia"/>
        </w:rPr>
        <w:t>同时，从五年预测表可反推项目单亩年均收入强度约为2000–2400元/亩/年（随订阅与服务占比提升略有增长），更贴近中小农户的付费承受能力与“可算回本账”的决策习惯。</w:t>
      </w:r>
    </w:p>
    <w:p w14:paraId="6047EE7D" w14:textId="77777777" w:rsidR="00271E7E" w:rsidRDefault="00000000">
      <w:pPr>
        <w:pStyle w:val="2"/>
        <w:spacing w:before="156" w:after="62"/>
        <w:rPr>
          <w:rFonts w:hint="eastAsia"/>
        </w:rPr>
      </w:pPr>
      <w:bookmarkStart w:id="16" w:name="_Toc19542"/>
      <w:r>
        <w:rPr>
          <w:rFonts w:hint="eastAsia"/>
        </w:rPr>
        <w:t>成本结构</w:t>
      </w:r>
      <w:bookmarkEnd w:id="16"/>
    </w:p>
    <w:p w14:paraId="42951884" w14:textId="77777777" w:rsidR="00271E7E" w:rsidRDefault="00000000">
      <w:pPr>
        <w:spacing w:after="62"/>
        <w:rPr>
          <w:rFonts w:hint="eastAsia"/>
        </w:rPr>
      </w:pPr>
      <w:r>
        <w:rPr>
          <w:rFonts w:hint="eastAsia"/>
        </w:rPr>
        <w:t>成本结构按四类拆分，并与规模化路径对应：</w:t>
      </w:r>
    </w:p>
    <w:p w14:paraId="6CDA4808" w14:textId="77777777" w:rsidR="00271E7E" w:rsidRDefault="00000000">
      <w:pPr>
        <w:spacing w:after="62"/>
        <w:rPr>
          <w:rFonts w:hint="eastAsia"/>
        </w:rPr>
      </w:pPr>
      <w:r>
        <w:rPr>
          <w:rFonts w:hint="eastAsia"/>
        </w:rPr>
        <w:t>研发成本（15%–20%营收）：硬件迭代、软件升级、AI模型优化等持续投入，确保跨区域适配与算法可用性；</w:t>
      </w:r>
    </w:p>
    <w:p w14:paraId="0D0A5112" w14:textId="77777777" w:rsidR="00271E7E" w:rsidRDefault="00000000">
      <w:pPr>
        <w:spacing w:after="62"/>
        <w:rPr>
          <w:rFonts w:hint="eastAsia"/>
        </w:rPr>
      </w:pPr>
      <w:r>
        <w:rPr>
          <w:rFonts w:hint="eastAsia"/>
        </w:rPr>
        <w:t>生产成本（硬件售价40%–50%）：元器件采购、生产组装、质量检测，随标准化与采购规模扩大逐步摊薄；</w:t>
      </w:r>
    </w:p>
    <w:p w14:paraId="5FD4E43F" w14:textId="77777777" w:rsidR="00271E7E" w:rsidRDefault="00000000">
      <w:pPr>
        <w:spacing w:after="62"/>
        <w:rPr>
          <w:rFonts w:hint="eastAsia"/>
        </w:rPr>
      </w:pPr>
      <w:r>
        <w:rPr>
          <w:rFonts w:hint="eastAsia"/>
        </w:rPr>
        <w:t>运营成本（10%–15%营收）：人员薪酬、办公开支、服务器与平台运维；</w:t>
      </w:r>
    </w:p>
    <w:p w14:paraId="05453462" w14:textId="77777777" w:rsidR="00271E7E" w:rsidRDefault="00000000">
      <w:pPr>
        <w:spacing w:after="62"/>
        <w:rPr>
          <w:rFonts w:hint="eastAsia"/>
        </w:rPr>
      </w:pPr>
      <w:r>
        <w:rPr>
          <w:rFonts w:hint="eastAsia"/>
        </w:rPr>
        <w:t>营销成本（20%–25%营收）：渠道建设、示范基地、推广活动与培训带教（对中小农户尤为关键）。</w:t>
      </w:r>
    </w:p>
    <w:p w14:paraId="4AF751DE" w14:textId="77777777" w:rsidR="00271E7E" w:rsidRDefault="00000000">
      <w:pPr>
        <w:pStyle w:val="2"/>
        <w:spacing w:before="156" w:after="62"/>
        <w:rPr>
          <w:rFonts w:hint="eastAsia"/>
        </w:rPr>
      </w:pPr>
      <w:bookmarkStart w:id="17" w:name="_Toc12211"/>
      <w:r>
        <w:rPr>
          <w:rFonts w:hint="eastAsia"/>
        </w:rPr>
        <w:t>盈亏平衡点</w:t>
      </w:r>
      <w:bookmarkEnd w:id="17"/>
    </w:p>
    <w:p w14:paraId="0D0C8951" w14:textId="77777777" w:rsidR="00271E7E" w:rsidRDefault="00000000">
      <w:pPr>
        <w:spacing w:after="62"/>
        <w:rPr>
          <w:rFonts w:hint="eastAsia"/>
        </w:rPr>
      </w:pPr>
      <w:r>
        <w:rPr>
          <w:rFonts w:hint="eastAsia"/>
        </w:rPr>
        <w:t>净利率20%–27%的合理性：该区间建立在“硬件交付（成本刚性）+ 软件订阅（毛利提升）+ 服务运维（规模摊薄）”的综合结构上。对比纯SaaS常见的高毛利区间，Stravision 莓界因包含硬件与线下服务，净利率采用更稳健的上升路径更可信。</w:t>
      </w:r>
    </w:p>
    <w:p w14:paraId="34FCAFD5" w14:textId="77777777" w:rsidR="00271E7E" w:rsidRDefault="00000000">
      <w:pPr>
        <w:spacing w:after="62"/>
        <w:rPr>
          <w:rFonts w:hint="eastAsia"/>
        </w:rPr>
      </w:pPr>
      <w:r>
        <w:rPr>
          <w:rFonts w:hint="eastAsia"/>
        </w:rPr>
        <w:t>盈亏平衡点：预计在2027年实现盈亏平衡，累计投入基本回收，随后规模效应带动净利率稳步提升。</w:t>
      </w:r>
    </w:p>
    <w:p w14:paraId="5CF25C30" w14:textId="77777777" w:rsidR="00271E7E" w:rsidRDefault="00000000">
      <w:pPr>
        <w:pStyle w:val="2"/>
        <w:spacing w:before="156" w:after="62"/>
        <w:rPr>
          <w:rFonts w:hint="eastAsia"/>
        </w:rPr>
      </w:pPr>
      <w:bookmarkStart w:id="18" w:name="_Toc16594"/>
      <w:r>
        <w:rPr>
          <w:rFonts w:hint="eastAsia"/>
        </w:rPr>
        <w:t>社会效益指标</w:t>
      </w:r>
      <w:bookmarkEnd w:id="18"/>
    </w:p>
    <w:p w14:paraId="58C78729" w14:textId="77777777" w:rsidR="00271E7E" w:rsidRDefault="00000000">
      <w:pPr>
        <w:spacing w:after="62"/>
        <w:rPr>
          <w:rFonts w:hint="eastAsia"/>
        </w:rPr>
      </w:pPr>
      <w:r>
        <w:rPr>
          <w:rFonts w:hint="eastAsia"/>
        </w:rPr>
        <w:t>除财务指标外，本项目设置可审阅的社会效益目标：</w:t>
      </w:r>
    </w:p>
    <w:p w14:paraId="7999150B" w14:textId="77777777" w:rsidR="00271E7E" w:rsidRDefault="00000000">
      <w:pPr>
        <w:spacing w:after="62"/>
        <w:rPr>
          <w:rFonts w:hint="eastAsia"/>
        </w:rPr>
      </w:pPr>
      <w:r>
        <w:rPr>
          <w:rFonts w:hint="eastAsia"/>
        </w:rPr>
        <w:t>助农增收：依托精准种植，带来增产10%–20%、节本20%以上的实证基础，并形成</w:t>
      </w:r>
      <w:r>
        <w:rPr>
          <w:rFonts w:hint="eastAsia"/>
        </w:rPr>
        <w:lastRenderedPageBreak/>
        <w:t>“户均年增收约1.2万元+”的可衡量成果口径。</w:t>
      </w:r>
    </w:p>
    <w:p w14:paraId="00C94F72" w14:textId="77777777" w:rsidR="00271E7E" w:rsidRDefault="00000000">
      <w:pPr>
        <w:spacing w:after="62"/>
        <w:rPr>
          <w:rFonts w:hint="eastAsia"/>
        </w:rPr>
      </w:pPr>
      <w:r>
        <w:rPr>
          <w:rFonts w:hint="eastAsia"/>
        </w:rPr>
        <w:t>绿色减投（预测指标，按保守口径）：</w:t>
      </w:r>
    </w:p>
    <w:p w14:paraId="45F9730C" w14:textId="77777777" w:rsidR="00271E7E" w:rsidRDefault="00000000">
      <w:pPr>
        <w:spacing w:after="62"/>
        <w:rPr>
          <w:rFonts w:hint="eastAsia"/>
        </w:rPr>
      </w:pPr>
      <w:r>
        <w:rPr>
          <w:rFonts w:hint="eastAsia"/>
        </w:rPr>
        <w:t>节水：目标降低灌溉用水20%–30%（保守取值），与智能灌溉研究中常见的节水幅度方向一致；</w:t>
      </w:r>
    </w:p>
    <w:p w14:paraId="0DBF7AC4" w14:textId="77777777" w:rsidR="00271E7E" w:rsidRDefault="00000000">
      <w:pPr>
        <w:spacing w:after="62"/>
        <w:rPr>
          <w:rFonts w:hint="eastAsia"/>
        </w:rPr>
      </w:pPr>
      <w:r>
        <w:rPr>
          <w:rFonts w:hint="eastAsia"/>
        </w:rPr>
        <w:t>减少化肥/农药不必要投入：目标降低10%–20%（保守取值），与精准农业“减少投入浪费、提高施用精准度”的研究结论一致。</w:t>
      </w:r>
    </w:p>
    <w:p w14:paraId="05D56342" w14:textId="77777777" w:rsidR="00271E7E" w:rsidRDefault="00000000">
      <w:pPr>
        <w:spacing w:after="62"/>
        <w:rPr>
          <w:rFonts w:hint="eastAsia"/>
        </w:rPr>
      </w:pPr>
      <w:r>
        <w:rPr>
          <w:rFonts w:hint="eastAsia"/>
        </w:rPr>
        <w:t>能力建设：通过“平台化SOP + 培训带教 + 告警联动”，降低农户学习门槛，缓解调研中普遍存在的“学不会、用不好、怕故障”的阻力。</w:t>
      </w:r>
    </w:p>
    <w:p w14:paraId="664D9B57" w14:textId="77777777" w:rsidR="00271E7E" w:rsidRDefault="00000000">
      <w:pPr>
        <w:pStyle w:val="2"/>
        <w:spacing w:before="156" w:after="62"/>
        <w:rPr>
          <w:rFonts w:hint="eastAsia"/>
        </w:rPr>
      </w:pPr>
      <w:bookmarkStart w:id="19" w:name="_Toc2563"/>
      <w:r>
        <w:rPr>
          <w:rFonts w:hint="eastAsia"/>
        </w:rPr>
        <w:t>合理性校验与敏感性</w:t>
      </w:r>
      <w:bookmarkEnd w:id="19"/>
    </w:p>
    <w:p w14:paraId="4A4D3391" w14:textId="77777777" w:rsidR="00271E7E" w:rsidRDefault="00000000">
      <w:pPr>
        <w:spacing w:after="62"/>
        <w:rPr>
          <w:rFonts w:hint="eastAsia"/>
        </w:rPr>
      </w:pPr>
      <w:r>
        <w:rPr>
          <w:rFonts w:hint="eastAsia"/>
        </w:rPr>
        <w:t>若推广速度低于预期：以2027盈亏平衡为基准，若覆盖面积/营收较预测下滑（例如-15%至-20%），项目将通过“提高订阅续费占比、压缩非刚性营销费用、优先深耕合作社/示范基地”来延后但不破坏盈亏平衡逻辑。</w:t>
      </w:r>
    </w:p>
    <w:p w14:paraId="0EC02F26" w14:textId="77777777" w:rsidR="00271E7E" w:rsidRDefault="00000000">
      <w:pPr>
        <w:spacing w:after="62"/>
        <w:rPr>
          <w:rFonts w:hint="eastAsia"/>
        </w:rPr>
      </w:pPr>
      <w:r>
        <w:rPr>
          <w:rFonts w:hint="eastAsia"/>
        </w:rPr>
        <w:t>若硬件成本波动：通过标准化BOM、规模采购、模块化可选件策略，将成本压力从“整套上升”改为“可选升级”，把农户的到手成本锁在可承受区间内。</w:t>
      </w:r>
    </w:p>
    <w:p w14:paraId="7DDD86BD" w14:textId="77777777" w:rsidR="00271E7E" w:rsidRDefault="00000000">
      <w:pPr>
        <w:pStyle w:val="1"/>
        <w:spacing w:before="312" w:after="62" w:line="240" w:lineRule="auto"/>
        <w:rPr>
          <w:rFonts w:hint="eastAsia"/>
        </w:rPr>
      </w:pPr>
      <w:bookmarkStart w:id="20" w:name="_Toc28212"/>
      <w:r>
        <w:rPr>
          <w:rFonts w:hint="eastAsia"/>
        </w:rPr>
        <w:t>实施计划</w:t>
      </w:r>
      <w:bookmarkEnd w:id="20"/>
    </w:p>
    <w:p w14:paraId="3686FADE" w14:textId="77777777" w:rsidR="00271E7E" w:rsidRDefault="00000000">
      <w:pPr>
        <w:spacing w:after="62" w:line="240" w:lineRule="auto"/>
        <w:rPr>
          <w:rFonts w:hint="eastAsia"/>
        </w:rPr>
      </w:pPr>
      <w:r>
        <w:rPr>
          <w:rFonts w:hint="eastAsia"/>
        </w:rPr>
        <w:t>第一阶段（2025-2027：深耕浙江，打造样板</w:t>
      </w:r>
    </w:p>
    <w:p w14:paraId="7352FA60" w14:textId="77777777" w:rsidR="00271E7E" w:rsidRDefault="00000000">
      <w:pPr>
        <w:spacing w:after="62" w:line="240" w:lineRule="auto"/>
        <w:rPr>
          <w:rFonts w:hint="eastAsia"/>
        </w:rPr>
      </w:pPr>
      <w:r>
        <w:rPr>
          <w:rFonts w:hint="eastAsia"/>
        </w:rPr>
        <w:t>核心目标：验证技术模型，建立行业标准，实现 1.5 万亩种植面积覆盖；</w:t>
      </w:r>
    </w:p>
    <w:p w14:paraId="515C2C03" w14:textId="77777777" w:rsidR="00271E7E" w:rsidRDefault="00000000">
      <w:pPr>
        <w:spacing w:after="62" w:line="240" w:lineRule="auto"/>
        <w:rPr>
          <w:rFonts w:hint="eastAsia"/>
        </w:rPr>
      </w:pPr>
      <w:r>
        <w:rPr>
          <w:rFonts w:hint="eastAsia"/>
        </w:rPr>
        <w:t>第二阶段（2027-2029：北上南下，全域复制</w:t>
      </w:r>
    </w:p>
    <w:p w14:paraId="581141BC" w14:textId="77777777" w:rsidR="00271E7E" w:rsidRDefault="00000000">
      <w:pPr>
        <w:spacing w:after="62" w:line="240" w:lineRule="auto"/>
        <w:rPr>
          <w:rFonts w:hint="eastAsia"/>
        </w:rPr>
      </w:pPr>
      <w:r>
        <w:rPr>
          <w:rFonts w:hint="eastAsia"/>
        </w:rPr>
        <w:t>核心目标：跨区域扩张，形成规模效应，覆盖 8 万亩种植面积；</w:t>
      </w:r>
    </w:p>
    <w:p w14:paraId="2913B08D" w14:textId="77777777" w:rsidR="00271E7E" w:rsidRDefault="00000000">
      <w:pPr>
        <w:spacing w:after="62" w:line="240" w:lineRule="auto"/>
        <w:rPr>
          <w:rFonts w:hint="eastAsia"/>
        </w:rPr>
      </w:pPr>
      <w:r>
        <w:rPr>
          <w:rFonts w:hint="eastAsia"/>
        </w:rPr>
        <w:t>第三阶段（2029-：一带一路，技术出海</w:t>
      </w:r>
    </w:p>
    <w:p w14:paraId="7368D03C" w14:textId="77777777" w:rsidR="00271E7E" w:rsidRDefault="00000000">
      <w:pPr>
        <w:spacing w:after="62" w:line="240" w:lineRule="auto"/>
        <w:rPr>
          <w:rFonts w:hint="eastAsia"/>
        </w:rPr>
      </w:pPr>
      <w:r>
        <w:rPr>
          <w:rFonts w:hint="eastAsia"/>
        </w:rPr>
        <w:t>核心目标：输出行业标准，实现全球布局，覆盖 25 万亩种植面积；</w:t>
      </w:r>
    </w:p>
    <w:p w14:paraId="170984C9" w14:textId="77777777" w:rsidR="00271E7E" w:rsidRDefault="00000000">
      <w:pPr>
        <w:spacing w:after="62" w:line="240" w:lineRule="auto"/>
        <w:jc w:val="center"/>
        <w:rPr>
          <w:rFonts w:hint="eastAsia"/>
        </w:rPr>
      </w:pPr>
      <w:r>
        <w:rPr>
          <w:rFonts w:hint="eastAsia"/>
          <w:noProof/>
        </w:rPr>
        <w:drawing>
          <wp:inline distT="0" distB="0" distL="114300" distR="114300" wp14:anchorId="5C648E10" wp14:editId="18AAD428">
            <wp:extent cx="4369435" cy="1833880"/>
            <wp:effectExtent l="0" t="0" r="0" b="0"/>
            <wp:docPr id="42" name="图片 42" descr="莓界项目实施计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莓界项目实施计划"/>
                    <pic:cNvPicPr>
                      <a:picLocks noChangeAspect="1"/>
                    </pic:cNvPicPr>
                  </pic:nvPicPr>
                  <pic:blipFill>
                    <a:blip r:embed="rId24"/>
                    <a:srcRect t="24795"/>
                    <a:stretch>
                      <a:fillRect/>
                    </a:stretch>
                  </pic:blipFill>
                  <pic:spPr>
                    <a:xfrm>
                      <a:off x="0" y="0"/>
                      <a:ext cx="4369435" cy="1833880"/>
                    </a:xfrm>
                    <a:prstGeom prst="rect">
                      <a:avLst/>
                    </a:prstGeom>
                  </pic:spPr>
                </pic:pic>
              </a:graphicData>
            </a:graphic>
          </wp:inline>
        </w:drawing>
      </w:r>
    </w:p>
    <w:p w14:paraId="6337D794" w14:textId="77777777" w:rsidR="00271E7E" w:rsidRDefault="00000000">
      <w:pPr>
        <w:pStyle w:val="a5"/>
        <w:spacing w:after="62" w:line="240" w:lineRule="auto"/>
        <w:rPr>
          <w:rFonts w:hint="eastAsia"/>
        </w:rPr>
      </w:pPr>
      <w:r>
        <w:t xml:space="preserve">图 </w:t>
      </w:r>
      <w:fldSimple w:instr=" STYLEREF 4 \s ">
        <w:r>
          <w:t>4.3.6.3</w:t>
        </w:r>
      </w:fldSimple>
      <w:r>
        <w:rPr>
          <w:rFonts w:hint="eastAsia"/>
        </w:rPr>
        <w:t>-</w:t>
      </w:r>
      <w:fldSimple w:instr=" SEQ 图 \* ARABIC \s 4 ">
        <w:r>
          <w:t>2</w:t>
        </w:r>
      </w:fldSimple>
      <w:r>
        <w:rPr>
          <w:rFonts w:hint="eastAsia"/>
        </w:rPr>
        <w:t>实施计划</w:t>
      </w:r>
    </w:p>
    <w:p w14:paraId="70562A52" w14:textId="77777777" w:rsidR="00271E7E" w:rsidRDefault="00000000">
      <w:pPr>
        <w:pStyle w:val="1"/>
        <w:spacing w:before="312" w:after="62" w:line="240" w:lineRule="auto"/>
        <w:rPr>
          <w:rFonts w:hint="eastAsia"/>
        </w:rPr>
      </w:pPr>
      <w:bookmarkStart w:id="21" w:name="_Toc8708"/>
      <w:r>
        <w:rPr>
          <w:rFonts w:hint="eastAsia"/>
        </w:rPr>
        <w:lastRenderedPageBreak/>
        <w:t>风险评估与应对策略</w:t>
      </w:r>
      <w:bookmarkEnd w:id="21"/>
    </w:p>
    <w:p w14:paraId="34A278A9" w14:textId="77777777" w:rsidR="00271E7E" w:rsidRDefault="00000000">
      <w:pPr>
        <w:pStyle w:val="a5"/>
        <w:spacing w:after="62"/>
        <w:rPr>
          <w:rFonts w:hint="eastAsia"/>
        </w:rPr>
      </w:pPr>
      <w:r>
        <w:t xml:space="preserve">表 </w:t>
      </w:r>
      <w:fldSimple w:instr=" STYLEREF 2 \s ">
        <w:r>
          <w:t>7.4</w:t>
        </w:r>
      </w:fldSimple>
      <w:r>
        <w:rPr>
          <w:rFonts w:hint="eastAsia"/>
        </w:rPr>
        <w:t>-</w:t>
      </w:r>
      <w:fldSimple w:instr=" SEQ 表 \* ARABIC \s 2 ">
        <w:r>
          <w:t>1</w:t>
        </w:r>
      </w:fldSimple>
      <w:r>
        <w:rPr>
          <w:rFonts w:hint="eastAsia"/>
        </w:rPr>
        <w:t xml:space="preserve"> 风险评估与应对策略</w:t>
      </w:r>
    </w:p>
    <w:tbl>
      <w:tblPr>
        <w:tblW w:w="8522" w:type="dxa"/>
        <w:jc w:val="center"/>
        <w:tblBorders>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372"/>
        <w:gridCol w:w="2315"/>
        <w:gridCol w:w="4835"/>
      </w:tblGrid>
      <w:tr w:rsidR="00271E7E" w14:paraId="234F0E25" w14:textId="77777777">
        <w:trPr>
          <w:tblHeader/>
          <w:jc w:val="center"/>
        </w:trPr>
        <w:tc>
          <w:tcPr>
            <w:tcW w:w="1372" w:type="dxa"/>
            <w:tcBorders>
              <w:top w:val="single" w:sz="4" w:space="0" w:color="000000"/>
              <w:left w:val="single" w:sz="4" w:space="0" w:color="000000"/>
              <w:bottom w:val="single" w:sz="4" w:space="0" w:color="000000"/>
              <w:right w:val="single" w:sz="4" w:space="0" w:color="000000"/>
              <w:tl2br w:val="single" w:sz="4" w:space="0" w:color="000000"/>
            </w:tcBorders>
            <w:shd w:val="clear" w:color="auto" w:fill="FFFFFF"/>
            <w:tcMar>
              <w:top w:w="144" w:type="dxa"/>
              <w:left w:w="216" w:type="dxa"/>
              <w:bottom w:w="144" w:type="dxa"/>
              <w:right w:w="216" w:type="dxa"/>
            </w:tcMar>
            <w:vAlign w:val="center"/>
          </w:tcPr>
          <w:p w14:paraId="57FBC263" w14:textId="77777777" w:rsidR="00271E7E" w:rsidRDefault="00000000">
            <w:pPr>
              <w:widowControl/>
              <w:spacing w:after="62" w:line="240" w:lineRule="auto"/>
              <w:ind w:firstLine="381"/>
              <w:jc w:val="center"/>
              <w:rPr>
                <w:rFonts w:ascii="Segoe UI" w:eastAsia="Segoe UI" w:hAnsi="Segoe UI" w:cs="Segoe UI"/>
                <w:b/>
                <w:bCs/>
                <w:color w:val="000000"/>
                <w:sz w:val="19"/>
                <w:szCs w:val="19"/>
              </w:rPr>
            </w:pPr>
            <w:r>
              <w:rPr>
                <w:rFonts w:ascii="Segoe UI" w:eastAsia="Segoe UI" w:hAnsi="Segoe UI" w:cs="Segoe UI"/>
                <w:b/>
                <w:bCs/>
                <w:color w:val="000000"/>
                <w:kern w:val="0"/>
                <w:sz w:val="19"/>
                <w:szCs w:val="19"/>
                <w:lang w:bidi="ar"/>
              </w:rPr>
              <w:t>风险类型</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705D2561" w14:textId="77777777" w:rsidR="00271E7E" w:rsidRDefault="00000000">
            <w:pPr>
              <w:widowControl/>
              <w:spacing w:after="62" w:line="240" w:lineRule="auto"/>
              <w:ind w:firstLineChars="0" w:firstLine="0"/>
              <w:jc w:val="center"/>
              <w:rPr>
                <w:rFonts w:ascii="Segoe UI" w:eastAsia="Segoe UI" w:hAnsi="Segoe UI" w:cs="Segoe UI"/>
                <w:b/>
                <w:bCs/>
                <w:color w:val="000000"/>
                <w:sz w:val="19"/>
                <w:szCs w:val="19"/>
              </w:rPr>
            </w:pPr>
            <w:r>
              <w:rPr>
                <w:rFonts w:ascii="Segoe UI" w:eastAsia="Segoe UI" w:hAnsi="Segoe UI" w:cs="Segoe UI"/>
                <w:b/>
                <w:bCs/>
                <w:color w:val="000000"/>
                <w:kern w:val="0"/>
                <w:sz w:val="19"/>
                <w:szCs w:val="19"/>
                <w:lang w:bidi="ar"/>
              </w:rPr>
              <w:t>具体风险</w:t>
            </w:r>
          </w:p>
        </w:tc>
        <w:tc>
          <w:tcPr>
            <w:tcW w:w="483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406FFD23" w14:textId="77777777" w:rsidR="00271E7E" w:rsidRDefault="00000000">
            <w:pPr>
              <w:widowControl/>
              <w:spacing w:after="62" w:line="240" w:lineRule="auto"/>
              <w:ind w:firstLineChars="0" w:firstLine="0"/>
              <w:jc w:val="center"/>
              <w:rPr>
                <w:rFonts w:ascii="Segoe UI" w:eastAsia="Segoe UI" w:hAnsi="Segoe UI" w:cs="Segoe UI"/>
                <w:b/>
                <w:bCs/>
                <w:color w:val="000000"/>
                <w:sz w:val="19"/>
                <w:szCs w:val="19"/>
              </w:rPr>
            </w:pPr>
            <w:r>
              <w:rPr>
                <w:rFonts w:ascii="Segoe UI" w:eastAsia="Segoe UI" w:hAnsi="Segoe UI" w:cs="Segoe UI"/>
                <w:b/>
                <w:bCs/>
                <w:color w:val="000000"/>
                <w:kern w:val="0"/>
                <w:sz w:val="19"/>
                <w:szCs w:val="19"/>
                <w:lang w:bidi="ar"/>
              </w:rPr>
              <w:t>应对策略</w:t>
            </w:r>
          </w:p>
        </w:tc>
      </w:tr>
      <w:tr w:rsidR="00271E7E" w14:paraId="5FC20B9E" w14:textId="77777777">
        <w:tblPrEx>
          <w:tblBorders>
            <w:top w:val="single" w:sz="4" w:space="0" w:color="auto"/>
          </w:tblBorders>
        </w:tblPrEx>
        <w:trPr>
          <w:jc w:val="center"/>
        </w:trPr>
        <w:tc>
          <w:tcPr>
            <w:tcW w:w="1372"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2ADE6088"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市场风险</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302A1900" w14:textId="77777777" w:rsidR="00271E7E" w:rsidRDefault="00000000">
            <w:pPr>
              <w:widowControl/>
              <w:spacing w:after="62" w:line="240" w:lineRule="auto"/>
              <w:ind w:firstLineChars="0" w:firstLine="0"/>
              <w:rPr>
                <w:rFonts w:ascii="Segoe UI" w:eastAsia="Segoe UI" w:hAnsi="Segoe UI" w:cs="Segoe UI"/>
                <w:color w:val="000000"/>
                <w:sz w:val="19"/>
                <w:szCs w:val="19"/>
              </w:rPr>
            </w:pPr>
            <w:r>
              <w:rPr>
                <w:rFonts w:ascii="Segoe UI" w:eastAsia="Segoe UI" w:hAnsi="Segoe UI" w:cs="Segoe UI"/>
                <w:color w:val="000000"/>
                <w:kern w:val="0"/>
                <w:sz w:val="19"/>
                <w:szCs w:val="19"/>
                <w:lang w:bidi="ar"/>
              </w:rPr>
              <w:t>农户认知不足、教育成本高</w:t>
            </w:r>
          </w:p>
        </w:tc>
        <w:tc>
          <w:tcPr>
            <w:tcW w:w="483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5A0DD570"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加大示范基地建设，开展免费试用活动，联合政府开展技术培训，降低接受门槛</w:t>
            </w:r>
          </w:p>
        </w:tc>
      </w:tr>
      <w:tr w:rsidR="00271E7E" w14:paraId="055F5CC5" w14:textId="77777777">
        <w:tblPrEx>
          <w:tblBorders>
            <w:top w:val="single" w:sz="4" w:space="0" w:color="auto"/>
          </w:tblBorders>
        </w:tblPrEx>
        <w:trPr>
          <w:jc w:val="center"/>
        </w:trPr>
        <w:tc>
          <w:tcPr>
            <w:tcW w:w="1372"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324495C0"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技术风险</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0C31A911" w14:textId="77777777" w:rsidR="00271E7E" w:rsidRDefault="00000000">
            <w:pPr>
              <w:widowControl/>
              <w:spacing w:after="62" w:line="240" w:lineRule="auto"/>
              <w:ind w:firstLineChars="0" w:firstLine="0"/>
              <w:rPr>
                <w:rFonts w:ascii="Segoe UI" w:eastAsia="Segoe UI" w:hAnsi="Segoe UI" w:cs="Segoe UI"/>
                <w:color w:val="000000"/>
                <w:sz w:val="19"/>
                <w:szCs w:val="19"/>
              </w:rPr>
            </w:pPr>
            <w:r>
              <w:rPr>
                <w:rFonts w:ascii="Segoe UI" w:eastAsia="Segoe UI" w:hAnsi="Segoe UI" w:cs="Segoe UI"/>
                <w:color w:val="000000"/>
                <w:kern w:val="0"/>
                <w:sz w:val="19"/>
                <w:szCs w:val="19"/>
                <w:lang w:bidi="ar"/>
              </w:rPr>
              <w:t>区域适配不足、技术迭代替代</w:t>
            </w:r>
          </w:p>
        </w:tc>
        <w:tc>
          <w:tcPr>
            <w:tcW w:w="483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682F9B22"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建立区域化研发团队，持续投入研发（占营收 15% 以上），保持技术领先性</w:t>
            </w:r>
          </w:p>
        </w:tc>
      </w:tr>
      <w:tr w:rsidR="00271E7E" w14:paraId="3428D67E" w14:textId="77777777">
        <w:tblPrEx>
          <w:tblBorders>
            <w:top w:val="single" w:sz="4" w:space="0" w:color="auto"/>
          </w:tblBorders>
        </w:tblPrEx>
        <w:trPr>
          <w:jc w:val="center"/>
        </w:trPr>
        <w:tc>
          <w:tcPr>
            <w:tcW w:w="1372"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367696E2"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竞争风险</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7E87211B" w14:textId="77777777" w:rsidR="00271E7E" w:rsidRDefault="00000000">
            <w:pPr>
              <w:widowControl/>
              <w:spacing w:after="62" w:line="240" w:lineRule="auto"/>
              <w:ind w:firstLineChars="0" w:firstLine="0"/>
              <w:rPr>
                <w:rFonts w:ascii="Segoe UI" w:eastAsia="Segoe UI" w:hAnsi="Segoe UI" w:cs="Segoe UI"/>
                <w:color w:val="000000"/>
                <w:sz w:val="19"/>
                <w:szCs w:val="19"/>
              </w:rPr>
            </w:pPr>
            <w:r>
              <w:rPr>
                <w:rFonts w:ascii="Segoe UI" w:eastAsia="Segoe UI" w:hAnsi="Segoe UI" w:cs="Segoe UI"/>
                <w:color w:val="000000"/>
                <w:kern w:val="0"/>
                <w:sz w:val="19"/>
                <w:szCs w:val="19"/>
                <w:lang w:bidi="ar"/>
              </w:rPr>
              <w:t>传统企业转型、同类产品竞争加剧</w:t>
            </w:r>
          </w:p>
        </w:tc>
        <w:tc>
          <w:tcPr>
            <w:tcW w:w="483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210E142D"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强化技术壁垒与成本优势，深耕产业链服务，构建品牌差异化竞争力</w:t>
            </w:r>
          </w:p>
        </w:tc>
      </w:tr>
      <w:tr w:rsidR="00271E7E" w14:paraId="4C8771D7" w14:textId="77777777">
        <w:tblPrEx>
          <w:tblBorders>
            <w:top w:val="single" w:sz="4" w:space="0" w:color="auto"/>
          </w:tblBorders>
        </w:tblPrEx>
        <w:trPr>
          <w:jc w:val="center"/>
        </w:trPr>
        <w:tc>
          <w:tcPr>
            <w:tcW w:w="1372"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1DB978F1"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政策风险</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6F616EDE" w14:textId="77777777" w:rsidR="00271E7E" w:rsidRDefault="00000000">
            <w:pPr>
              <w:widowControl/>
              <w:spacing w:after="62" w:line="240" w:lineRule="auto"/>
              <w:ind w:firstLineChars="0" w:firstLine="0"/>
              <w:rPr>
                <w:rFonts w:ascii="Segoe UI" w:eastAsia="Segoe UI" w:hAnsi="Segoe UI" w:cs="Segoe UI"/>
                <w:color w:val="000000"/>
                <w:sz w:val="19"/>
                <w:szCs w:val="19"/>
              </w:rPr>
            </w:pPr>
            <w:r>
              <w:rPr>
                <w:rFonts w:ascii="Segoe UI" w:eastAsia="Segoe UI" w:hAnsi="Segoe UI" w:cs="Segoe UI"/>
                <w:color w:val="000000"/>
                <w:kern w:val="0"/>
                <w:sz w:val="19"/>
                <w:szCs w:val="19"/>
                <w:lang w:bidi="ar"/>
              </w:rPr>
              <w:t>监管政策收紧、补贴政策调整</w:t>
            </w:r>
          </w:p>
        </w:tc>
        <w:tc>
          <w:tcPr>
            <w:tcW w:w="483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07E73922"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密切关注政策动态，合规经营，多元化营收结构，降低对政策补贴的依赖</w:t>
            </w:r>
          </w:p>
        </w:tc>
      </w:tr>
      <w:tr w:rsidR="00271E7E" w14:paraId="56A19CFB" w14:textId="77777777">
        <w:tblPrEx>
          <w:tblBorders>
            <w:top w:val="single" w:sz="4" w:space="0" w:color="auto"/>
          </w:tblBorders>
        </w:tblPrEx>
        <w:trPr>
          <w:jc w:val="center"/>
        </w:trPr>
        <w:tc>
          <w:tcPr>
            <w:tcW w:w="1372"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0327308F"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运营风险</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117E7D33" w14:textId="77777777" w:rsidR="00271E7E" w:rsidRDefault="00000000">
            <w:pPr>
              <w:widowControl/>
              <w:spacing w:after="62" w:line="240" w:lineRule="auto"/>
              <w:ind w:firstLineChars="0" w:firstLine="0"/>
              <w:rPr>
                <w:rFonts w:ascii="Segoe UI" w:eastAsia="Segoe UI" w:hAnsi="Segoe UI" w:cs="Segoe UI"/>
                <w:color w:val="000000"/>
                <w:sz w:val="19"/>
                <w:szCs w:val="19"/>
              </w:rPr>
            </w:pPr>
            <w:r>
              <w:rPr>
                <w:rFonts w:ascii="Segoe UI" w:eastAsia="Segoe UI" w:hAnsi="Segoe UI" w:cs="Segoe UI"/>
                <w:color w:val="000000"/>
                <w:kern w:val="0"/>
                <w:sz w:val="19"/>
                <w:szCs w:val="19"/>
                <w:lang w:bidi="ar"/>
              </w:rPr>
              <w:t>设备故障、服务覆盖不足</w:t>
            </w:r>
          </w:p>
        </w:tc>
        <w:tc>
          <w:tcPr>
            <w:tcW w:w="4835" w:type="dxa"/>
            <w:tcBorders>
              <w:top w:val="single" w:sz="4" w:space="0" w:color="000000"/>
              <w:left w:val="single" w:sz="4" w:space="0" w:color="000000"/>
              <w:bottom w:val="single" w:sz="4" w:space="0" w:color="000000"/>
              <w:right w:val="single" w:sz="4" w:space="0" w:color="000000"/>
            </w:tcBorders>
            <w:shd w:val="clear" w:color="auto" w:fill="FFFFFF"/>
            <w:tcMar>
              <w:top w:w="144" w:type="dxa"/>
              <w:left w:w="216" w:type="dxa"/>
              <w:bottom w:w="144" w:type="dxa"/>
              <w:right w:w="216" w:type="dxa"/>
            </w:tcMar>
            <w:vAlign w:val="center"/>
          </w:tcPr>
          <w:p w14:paraId="3C95B731" w14:textId="77777777" w:rsidR="00271E7E" w:rsidRDefault="00000000">
            <w:pPr>
              <w:widowControl/>
              <w:spacing w:after="62" w:line="240" w:lineRule="auto"/>
              <w:ind w:firstLineChars="0" w:firstLine="0"/>
              <w:jc w:val="center"/>
              <w:rPr>
                <w:rFonts w:ascii="Segoe UI" w:eastAsia="Segoe UI" w:hAnsi="Segoe UI" w:cs="Segoe UI"/>
                <w:color w:val="000000"/>
                <w:sz w:val="19"/>
                <w:szCs w:val="19"/>
              </w:rPr>
            </w:pPr>
            <w:r>
              <w:rPr>
                <w:rFonts w:ascii="Segoe UI" w:eastAsia="Segoe UI" w:hAnsi="Segoe UI" w:cs="Segoe UI"/>
                <w:color w:val="000000"/>
                <w:kern w:val="0"/>
                <w:sz w:val="19"/>
                <w:szCs w:val="19"/>
                <w:lang w:bidi="ar"/>
              </w:rPr>
              <w:t>完善运维服务体系，建立区域服务网点，优化产品稳定性，提供远程故障排查支持</w:t>
            </w:r>
          </w:p>
        </w:tc>
      </w:tr>
    </w:tbl>
    <w:p w14:paraId="11101C48" w14:textId="77777777" w:rsidR="00271E7E" w:rsidRDefault="00000000">
      <w:pPr>
        <w:pStyle w:val="1"/>
        <w:spacing w:before="312" w:after="62" w:line="240" w:lineRule="auto"/>
        <w:rPr>
          <w:rFonts w:hint="eastAsia"/>
        </w:rPr>
      </w:pPr>
      <w:bookmarkStart w:id="22" w:name="_Toc18011"/>
      <w:r>
        <w:t>团队</w:t>
      </w:r>
      <w:r>
        <w:rPr>
          <w:rFonts w:hint="eastAsia"/>
        </w:rPr>
        <w:t>优势</w:t>
      </w:r>
      <w:bookmarkEnd w:id="22"/>
    </w:p>
    <w:p w14:paraId="3219BA7E" w14:textId="77777777" w:rsidR="00271E7E" w:rsidRDefault="00000000">
      <w:pPr>
        <w:pStyle w:val="2"/>
        <w:spacing w:before="156" w:after="62" w:line="240" w:lineRule="auto"/>
        <w:rPr>
          <w:rFonts w:hint="eastAsia"/>
        </w:rPr>
      </w:pPr>
      <w:bookmarkStart w:id="23" w:name="_Toc14131"/>
      <w:r>
        <w:rPr>
          <w:rFonts w:hint="eastAsia"/>
        </w:rPr>
        <w:t>核心优势</w:t>
      </w:r>
      <w:bookmarkEnd w:id="23"/>
    </w:p>
    <w:p w14:paraId="2014406D" w14:textId="77777777" w:rsidR="00271E7E" w:rsidRDefault="00000000">
      <w:pPr>
        <w:spacing w:after="62"/>
        <w:rPr>
          <w:rFonts w:hint="eastAsia"/>
        </w:rPr>
      </w:pPr>
      <w:r>
        <w:rPr>
          <w:rFonts w:hint="eastAsia"/>
        </w:rPr>
        <w:t>技术闭环优势：打造的 Stravision 平台融合 AI 智能体与物联网技术，构建 “感知 - 分析 - 决策 - 执行” 数字化闭环，具备数据智能分析、设备协同调控等核心能力，适配多场景需求。</w:t>
      </w:r>
    </w:p>
    <w:p w14:paraId="43F86878" w14:textId="77777777" w:rsidR="00271E7E" w:rsidRDefault="00000000">
      <w:pPr>
        <w:spacing w:after="62"/>
        <w:rPr>
          <w:rFonts w:hint="eastAsia"/>
        </w:rPr>
      </w:pPr>
      <w:r>
        <w:rPr>
          <w:rFonts w:hint="eastAsia"/>
        </w:rPr>
        <w:t>校企协同优势：已与湖州市迁奕软件科技、宁波中易电子科技等企业达成合作意向，聚焦平台应用、技术优化、示范基地建设等方向，实现产学研高效联动。</w:t>
      </w:r>
    </w:p>
    <w:p w14:paraId="2BCC9963" w14:textId="77777777" w:rsidR="00271E7E" w:rsidRDefault="00000000">
      <w:pPr>
        <w:spacing w:after="62"/>
        <w:rPr>
          <w:rFonts w:hint="eastAsia"/>
        </w:rPr>
      </w:pPr>
      <w:r>
        <w:rPr>
          <w:rFonts w:hint="eastAsia"/>
        </w:rPr>
        <w:t>技术实用优势：平台采用平台化架构设计，支持多大棚集中管理，数据驱动决策精准，可灵活扩展传感器与设备，适配生产、教学、科研等多元场景。</w:t>
      </w:r>
    </w:p>
    <w:p w14:paraId="632543FA" w14:textId="77777777" w:rsidR="00271E7E" w:rsidRDefault="00000000">
      <w:pPr>
        <w:pStyle w:val="2"/>
        <w:spacing w:before="156" w:after="62" w:line="240" w:lineRule="auto"/>
        <w:rPr>
          <w:rFonts w:hint="eastAsia"/>
        </w:rPr>
      </w:pPr>
      <w:bookmarkStart w:id="24" w:name="_Toc13182"/>
      <w:r>
        <w:rPr>
          <w:rFonts w:hint="eastAsia"/>
        </w:rPr>
        <w:t>科研成果</w:t>
      </w:r>
      <w:bookmarkEnd w:id="24"/>
    </w:p>
    <w:p w14:paraId="27ADC5EF" w14:textId="77777777" w:rsidR="00271E7E" w:rsidRDefault="00000000">
      <w:pPr>
        <w:spacing w:after="62"/>
        <w:rPr>
          <w:rFonts w:hint="eastAsia"/>
        </w:rPr>
      </w:pPr>
      <w:r>
        <w:rPr>
          <w:rFonts w:hint="eastAsia"/>
        </w:rPr>
        <w:t>软件著作权：“草莓农场 AI 管理系统 V1.3”“基于 Node-RED 的草莓智慧种植监控系统 V1.0” 均获中国版权保护中心著作权登记受理，技术成果标准化落地。</w:t>
      </w:r>
    </w:p>
    <w:p w14:paraId="508F1BD1" w14:textId="77777777" w:rsidR="00271E7E" w:rsidRDefault="00000000">
      <w:pPr>
        <w:spacing w:after="62"/>
        <w:rPr>
          <w:rFonts w:hint="eastAsia"/>
        </w:rPr>
      </w:pPr>
      <w:r>
        <w:rPr>
          <w:rFonts w:hint="eastAsia"/>
        </w:rPr>
        <w:t>核心平台：自主研发 Stravision 智慧农业管理平台，实现无人值守或低值守大棚管理，推动农业生产从 “人工看管” 向 “系统自运行” 转型。</w:t>
      </w:r>
    </w:p>
    <w:p w14:paraId="1D2B1165" w14:textId="77777777" w:rsidR="00271E7E" w:rsidRDefault="00000000">
      <w:pPr>
        <w:pStyle w:val="2"/>
        <w:spacing w:before="156" w:after="62"/>
        <w:rPr>
          <w:rFonts w:hint="eastAsia"/>
        </w:rPr>
      </w:pPr>
      <w:bookmarkStart w:id="25" w:name="_Toc22745"/>
      <w:r>
        <w:rPr>
          <w:rFonts w:hint="eastAsia"/>
        </w:rPr>
        <w:lastRenderedPageBreak/>
        <w:t>团队实践</w:t>
      </w:r>
      <w:bookmarkEnd w:id="25"/>
    </w:p>
    <w:p w14:paraId="18471BD2" w14:textId="77777777" w:rsidR="00271E7E" w:rsidRDefault="00000000">
      <w:pPr>
        <w:spacing w:after="62"/>
        <w:jc w:val="center"/>
        <w:rPr>
          <w:rFonts w:hint="eastAsia"/>
        </w:rPr>
      </w:pPr>
      <w:r>
        <w:t>在宁波城市职业技术学院，</w:t>
      </w:r>
      <w:r>
        <w:rPr>
          <w:rFonts w:hint="eastAsia"/>
        </w:rPr>
        <w:t>stravison莓界</w:t>
      </w:r>
      <w:r>
        <w:t>团队利用物联网和数据分析技术进行数字化草莓种植试点，成功将首批30斤“科技草莓”销售一空，实现了产教融合的初步成效。</w:t>
      </w:r>
    </w:p>
    <w:p w14:paraId="7B030FBE" w14:textId="77777777" w:rsidR="00271E7E" w:rsidRDefault="00000000">
      <w:pPr>
        <w:pStyle w:val="a5"/>
        <w:spacing w:after="62"/>
        <w:rPr>
          <w:rFonts w:hint="eastAsia"/>
        </w:rPr>
      </w:pPr>
      <w:r>
        <w:rPr>
          <w:noProof/>
        </w:rPr>
        <w:drawing>
          <wp:inline distT="0" distB="0" distL="114300" distR="114300" wp14:anchorId="6C99BBED" wp14:editId="60CB522E">
            <wp:extent cx="3618865" cy="2713355"/>
            <wp:effectExtent l="0" t="0" r="8255" b="14605"/>
            <wp:docPr id="18" name="图片 18" descr="d4318869f1e70225cdd91f3e5cbfd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4318869f1e70225cdd91f3e5cbfd604"/>
                    <pic:cNvPicPr>
                      <a:picLocks noChangeAspect="1"/>
                    </pic:cNvPicPr>
                  </pic:nvPicPr>
                  <pic:blipFill>
                    <a:blip r:embed="rId25"/>
                    <a:stretch>
                      <a:fillRect/>
                    </a:stretch>
                  </pic:blipFill>
                  <pic:spPr>
                    <a:xfrm>
                      <a:off x="0" y="0"/>
                      <a:ext cx="3618865" cy="2713355"/>
                    </a:xfrm>
                    <a:prstGeom prst="rect">
                      <a:avLst/>
                    </a:prstGeom>
                  </pic:spPr>
                </pic:pic>
              </a:graphicData>
            </a:graphic>
          </wp:inline>
        </w:drawing>
      </w:r>
    </w:p>
    <w:p w14:paraId="3F7FDEAA" w14:textId="77777777" w:rsidR="00271E7E" w:rsidRDefault="00000000">
      <w:pPr>
        <w:spacing w:after="62"/>
        <w:jc w:val="center"/>
        <w:rPr>
          <w:rFonts w:hint="eastAsia"/>
        </w:rPr>
      </w:pPr>
      <w:r>
        <w:t xml:space="preserve">图 </w:t>
      </w:r>
      <w:fldSimple w:instr=" STYLEREF 2 \s ">
        <w:r>
          <w:t>11.3</w:t>
        </w:r>
      </w:fldSimple>
      <w:r>
        <w:rPr>
          <w:rFonts w:hint="eastAsia"/>
        </w:rPr>
        <w:t>-</w:t>
      </w:r>
      <w:fldSimple w:instr=" SEQ 图 \* ARABIC \s 2 ">
        <w:r>
          <w:t>1</w:t>
        </w:r>
      </w:fldSimple>
      <w:r>
        <w:rPr>
          <w:rFonts w:hint="eastAsia"/>
        </w:rPr>
        <w:t xml:space="preserve"> 草莓义卖活动</w:t>
      </w:r>
    </w:p>
    <w:p w14:paraId="278DF64D" w14:textId="77777777" w:rsidR="00271E7E" w:rsidRDefault="00271E7E">
      <w:pPr>
        <w:pStyle w:val="a5"/>
        <w:spacing w:afterLines="0" w:after="120"/>
        <w:rPr>
          <w:rFonts w:hint="eastAsia"/>
        </w:rPr>
      </w:pPr>
    </w:p>
    <w:sectPr w:rsidR="00271E7E">
      <w:headerReference w:type="even" r:id="rId26"/>
      <w:headerReference w:type="default" r:id="rId27"/>
      <w:footerReference w:type="even" r:id="rId28"/>
      <w:footerReference w:type="default" r:id="rId29"/>
      <w:headerReference w:type="first" r:id="rId30"/>
      <w:footerReference w:type="firs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66362" w14:textId="77777777" w:rsidR="0065341F" w:rsidRDefault="0065341F">
      <w:pPr>
        <w:spacing w:after="48" w:line="240" w:lineRule="auto"/>
        <w:rPr>
          <w:rFonts w:hint="eastAsia"/>
        </w:rPr>
      </w:pPr>
      <w:r>
        <w:separator/>
      </w:r>
    </w:p>
  </w:endnote>
  <w:endnote w:type="continuationSeparator" w:id="0">
    <w:p w14:paraId="78636E8B" w14:textId="77777777" w:rsidR="0065341F" w:rsidRDefault="0065341F">
      <w:pPr>
        <w:spacing w:after="48"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400000000000000"/>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B0400000000000000"/>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E42A5" w14:textId="77777777" w:rsidR="00271E7E" w:rsidRDefault="00271E7E">
    <w:pPr>
      <w:pStyle w:val="ab"/>
      <w:spacing w:after="4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0E98" w14:textId="77777777" w:rsidR="00271E7E" w:rsidRDefault="00000000">
    <w:pPr>
      <w:pStyle w:val="ab"/>
      <w:spacing w:after="48"/>
      <w:rPr>
        <w:rFonts w:hint="eastAsia"/>
      </w:rPr>
    </w:pPr>
    <w:r>
      <w:rPr>
        <w:noProof/>
      </w:rPr>
      <mc:AlternateContent>
        <mc:Choice Requires="wps">
          <w:drawing>
            <wp:anchor distT="0" distB="0" distL="114300" distR="114300" simplePos="0" relativeHeight="251660288" behindDoc="0" locked="0" layoutInCell="1" allowOverlap="1" wp14:anchorId="41494105" wp14:editId="3250327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ACA3F2" w14:textId="77777777" w:rsidR="00271E7E" w:rsidRDefault="00000000">
                          <w:pPr>
                            <w:pStyle w:val="ab"/>
                            <w:spacing w:after="48"/>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494105" id="_x0000_t202" coordsize="21600,21600" o:spt="202" path="m,l,21600r21600,l21600,xe">
              <v:stroke joinstyle="miter"/>
              <v:path gradientshapeok="t" o:connecttype="rect"/>
            </v:shapetype>
            <v:shape id="文本框 2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9ACA3F2" w14:textId="77777777" w:rsidR="00271E7E" w:rsidRDefault="00000000">
                    <w:pPr>
                      <w:pStyle w:val="ab"/>
                      <w:spacing w:after="48"/>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FB9D" w14:textId="77777777" w:rsidR="00271E7E" w:rsidRDefault="00271E7E">
    <w:pPr>
      <w:pStyle w:val="ab"/>
      <w:spacing w:after="4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E2630" w14:textId="77777777" w:rsidR="0065341F" w:rsidRDefault="0065341F">
      <w:pPr>
        <w:spacing w:after="48"/>
        <w:rPr>
          <w:rFonts w:hint="eastAsia"/>
        </w:rPr>
      </w:pPr>
      <w:r>
        <w:separator/>
      </w:r>
    </w:p>
  </w:footnote>
  <w:footnote w:type="continuationSeparator" w:id="0">
    <w:p w14:paraId="24CC53C7" w14:textId="77777777" w:rsidR="0065341F" w:rsidRDefault="0065341F">
      <w:pPr>
        <w:spacing w:after="48"/>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15F2" w14:textId="77777777" w:rsidR="00271E7E" w:rsidRDefault="00271E7E">
    <w:pPr>
      <w:pStyle w:val="ac"/>
      <w:spacing w:after="4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91E6" w14:textId="77777777" w:rsidR="00271E7E" w:rsidRDefault="00271E7E">
    <w:pPr>
      <w:pStyle w:val="ac"/>
      <w:spacing w:after="48"/>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EA80" w14:textId="77777777" w:rsidR="00271E7E" w:rsidRDefault="00271E7E">
    <w:pPr>
      <w:pStyle w:val="ac"/>
      <w:spacing w:after="4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70DCF"/>
    <w:multiLevelType w:val="multilevel"/>
    <w:tmpl w:val="3E270DCF"/>
    <w:lvl w:ilvl="0">
      <w:start w:val="1"/>
      <w:numFmt w:val="decimal"/>
      <w:pStyle w:val="1"/>
      <w:suff w:val="space"/>
      <w:lvlText w:val="%1."/>
      <w:lvlJc w:val="left"/>
      <w:pPr>
        <w:ind w:left="0" w:firstLine="0"/>
      </w:pPr>
      <w:rPr>
        <w:rFonts w:ascii="微软雅黑" w:eastAsia="微软雅黑" w:hAnsi="微软雅黑" w:hint="default"/>
      </w:rPr>
    </w:lvl>
    <w:lvl w:ilvl="1">
      <w:start w:val="1"/>
      <w:numFmt w:val="decimal"/>
      <w:pStyle w:val="2"/>
      <w:suff w:val="space"/>
      <w:lvlText w:val="%1.%2."/>
      <w:lvlJc w:val="left"/>
      <w:pPr>
        <w:ind w:left="0" w:firstLine="0"/>
      </w:pPr>
      <w:rPr>
        <w:rFonts w:ascii="微软雅黑" w:eastAsia="微软雅黑" w:hAnsi="微软雅黑" w:hint="default"/>
      </w:rPr>
    </w:lvl>
    <w:lvl w:ilvl="2">
      <w:start w:val="1"/>
      <w:numFmt w:val="decimal"/>
      <w:pStyle w:val="3"/>
      <w:suff w:val="space"/>
      <w:lvlText w:val="%1.%2.%3."/>
      <w:lvlJc w:val="left"/>
      <w:pPr>
        <w:ind w:left="0" w:firstLine="0"/>
      </w:pPr>
      <w:rPr>
        <w:rFonts w:ascii="微软雅黑" w:eastAsia="微软雅黑" w:hAnsi="微软雅黑" w:hint="default"/>
      </w:rPr>
    </w:lvl>
    <w:lvl w:ilvl="3">
      <w:start w:val="1"/>
      <w:numFmt w:val="decimal"/>
      <w:pStyle w:val="4"/>
      <w:suff w:val="space"/>
      <w:lvlText w:val="%1.%2.%3.%4."/>
      <w:lvlJc w:val="left"/>
      <w:pPr>
        <w:ind w:left="0" w:firstLine="0"/>
      </w:pPr>
      <w:rPr>
        <w:rFonts w:ascii="微软雅黑" w:eastAsia="微软雅黑" w:hAnsi="微软雅黑" w:hint="default"/>
      </w:rPr>
    </w:lvl>
    <w:lvl w:ilvl="4">
      <w:start w:val="1"/>
      <w:numFmt w:val="decimal"/>
      <w:pStyle w:val="5"/>
      <w:lvlText w:val="%1.%2.%3.%4.%5."/>
      <w:lvlJc w:val="left"/>
      <w:pPr>
        <w:tabs>
          <w:tab w:val="left" w:pos="0"/>
        </w:tabs>
        <w:ind w:left="0" w:firstLine="0"/>
      </w:pPr>
      <w:rPr>
        <w:rFonts w:ascii="微软雅黑" w:eastAsia="微软雅黑" w:hAnsi="微软雅黑" w:hint="default"/>
      </w:rPr>
    </w:lvl>
    <w:lvl w:ilvl="5">
      <w:start w:val="1"/>
      <w:numFmt w:val="decimal"/>
      <w:pStyle w:val="6"/>
      <w:suff w:val="space"/>
      <w:lvlText w:val="%1.%2.%3.%4.%5.%6."/>
      <w:lvlJc w:val="left"/>
      <w:pPr>
        <w:ind w:left="0" w:firstLine="0"/>
      </w:pPr>
      <w:rPr>
        <w:rFonts w:hint="default"/>
      </w:rPr>
    </w:lvl>
    <w:lvl w:ilvl="6">
      <w:start w:val="1"/>
      <w:numFmt w:val="decimal"/>
      <w:pStyle w:val="7"/>
      <w:lvlText w:val="%1.%2.%3.%4.%5.%6.%7."/>
      <w:lvlJc w:val="left"/>
      <w:pPr>
        <w:tabs>
          <w:tab w:val="left" w:pos="0"/>
        </w:tabs>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lvlText w:val="%1.%2.%3.%4.%5.%6.%7.%8.%9."/>
      <w:lvlJc w:val="left"/>
      <w:pPr>
        <w:tabs>
          <w:tab w:val="left" w:pos="0"/>
        </w:tabs>
        <w:ind w:left="0" w:firstLine="0"/>
      </w:pPr>
      <w:rPr>
        <w:rFonts w:hint="default"/>
      </w:rPr>
    </w:lvl>
  </w:abstractNum>
  <w:num w:numId="1" w16cid:durableId="879131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A0179E"/>
    <w:rsid w:val="000C62B2"/>
    <w:rsid w:val="00271E7E"/>
    <w:rsid w:val="003F50DC"/>
    <w:rsid w:val="003F5DF5"/>
    <w:rsid w:val="0065341F"/>
    <w:rsid w:val="00825A31"/>
    <w:rsid w:val="00BC17C5"/>
    <w:rsid w:val="00F02F1D"/>
    <w:rsid w:val="00FB79DB"/>
    <w:rsid w:val="0199142D"/>
    <w:rsid w:val="01B70956"/>
    <w:rsid w:val="02285819"/>
    <w:rsid w:val="02AE4196"/>
    <w:rsid w:val="02B81FC4"/>
    <w:rsid w:val="02DF3514"/>
    <w:rsid w:val="031F516D"/>
    <w:rsid w:val="03402A63"/>
    <w:rsid w:val="03B6017D"/>
    <w:rsid w:val="04211BA2"/>
    <w:rsid w:val="05603D62"/>
    <w:rsid w:val="05654966"/>
    <w:rsid w:val="06A24A78"/>
    <w:rsid w:val="07577FFE"/>
    <w:rsid w:val="07653CA6"/>
    <w:rsid w:val="07AC4C16"/>
    <w:rsid w:val="0A0C24FF"/>
    <w:rsid w:val="0A1C6BA3"/>
    <w:rsid w:val="0A9F38F9"/>
    <w:rsid w:val="0AF83422"/>
    <w:rsid w:val="0B7F1C77"/>
    <w:rsid w:val="0C407DE8"/>
    <w:rsid w:val="0CE40585"/>
    <w:rsid w:val="0DD55AD2"/>
    <w:rsid w:val="0EDB7DA4"/>
    <w:rsid w:val="0F18170A"/>
    <w:rsid w:val="0F2C6214"/>
    <w:rsid w:val="0FC3664F"/>
    <w:rsid w:val="10A51DDA"/>
    <w:rsid w:val="10B410DD"/>
    <w:rsid w:val="11215002"/>
    <w:rsid w:val="11370766"/>
    <w:rsid w:val="12515B6A"/>
    <w:rsid w:val="13175F1A"/>
    <w:rsid w:val="141E0746"/>
    <w:rsid w:val="1602497C"/>
    <w:rsid w:val="165F2A2B"/>
    <w:rsid w:val="16785E60"/>
    <w:rsid w:val="1696199B"/>
    <w:rsid w:val="170745CE"/>
    <w:rsid w:val="17251F02"/>
    <w:rsid w:val="17282527"/>
    <w:rsid w:val="1766523D"/>
    <w:rsid w:val="18561D8C"/>
    <w:rsid w:val="18C85C5F"/>
    <w:rsid w:val="190D7B12"/>
    <w:rsid w:val="198C0AC2"/>
    <w:rsid w:val="19C25F53"/>
    <w:rsid w:val="1A0C35CC"/>
    <w:rsid w:val="1B3F1E98"/>
    <w:rsid w:val="1C4C3AFB"/>
    <w:rsid w:val="1CA0179E"/>
    <w:rsid w:val="1DEA6C4D"/>
    <w:rsid w:val="201D1844"/>
    <w:rsid w:val="20890C67"/>
    <w:rsid w:val="2178732C"/>
    <w:rsid w:val="22766CA1"/>
    <w:rsid w:val="22AB3ABF"/>
    <w:rsid w:val="22D636B5"/>
    <w:rsid w:val="234550B7"/>
    <w:rsid w:val="237A3848"/>
    <w:rsid w:val="23C35C20"/>
    <w:rsid w:val="254969BC"/>
    <w:rsid w:val="28BB3E5B"/>
    <w:rsid w:val="291F50AF"/>
    <w:rsid w:val="2A2279A1"/>
    <w:rsid w:val="2B225F49"/>
    <w:rsid w:val="2B3F0000"/>
    <w:rsid w:val="2BEE5268"/>
    <w:rsid w:val="2C4719E5"/>
    <w:rsid w:val="2CAC0F6B"/>
    <w:rsid w:val="2D033AAD"/>
    <w:rsid w:val="2DEF7B6A"/>
    <w:rsid w:val="2E8D2B64"/>
    <w:rsid w:val="2EEF770D"/>
    <w:rsid w:val="2F984477"/>
    <w:rsid w:val="301D10D8"/>
    <w:rsid w:val="30933641"/>
    <w:rsid w:val="30FD765B"/>
    <w:rsid w:val="333E6AA2"/>
    <w:rsid w:val="35923A74"/>
    <w:rsid w:val="35FB4470"/>
    <w:rsid w:val="361A6F6D"/>
    <w:rsid w:val="3647376A"/>
    <w:rsid w:val="36486BE0"/>
    <w:rsid w:val="365F585B"/>
    <w:rsid w:val="36D026DB"/>
    <w:rsid w:val="3767221E"/>
    <w:rsid w:val="376C1D58"/>
    <w:rsid w:val="383D70A0"/>
    <w:rsid w:val="38565D55"/>
    <w:rsid w:val="38B23662"/>
    <w:rsid w:val="3A0557A4"/>
    <w:rsid w:val="3AA20FB4"/>
    <w:rsid w:val="3B8B471B"/>
    <w:rsid w:val="3BDC782D"/>
    <w:rsid w:val="3C230512"/>
    <w:rsid w:val="3C3D21C2"/>
    <w:rsid w:val="3C7A5184"/>
    <w:rsid w:val="3C8F4469"/>
    <w:rsid w:val="3DCE4DD0"/>
    <w:rsid w:val="3E4D4B98"/>
    <w:rsid w:val="3F407652"/>
    <w:rsid w:val="40422291"/>
    <w:rsid w:val="40595BA0"/>
    <w:rsid w:val="40AE4E9A"/>
    <w:rsid w:val="40E515C4"/>
    <w:rsid w:val="40EB4400"/>
    <w:rsid w:val="414C1C7A"/>
    <w:rsid w:val="41A63871"/>
    <w:rsid w:val="41A666D4"/>
    <w:rsid w:val="42522455"/>
    <w:rsid w:val="432C4745"/>
    <w:rsid w:val="435707E8"/>
    <w:rsid w:val="43807145"/>
    <w:rsid w:val="438A7056"/>
    <w:rsid w:val="44B21CE6"/>
    <w:rsid w:val="45C3200C"/>
    <w:rsid w:val="45FF1C64"/>
    <w:rsid w:val="46384C85"/>
    <w:rsid w:val="47052894"/>
    <w:rsid w:val="495E3826"/>
    <w:rsid w:val="49D73576"/>
    <w:rsid w:val="4B071F90"/>
    <w:rsid w:val="4B3962CF"/>
    <w:rsid w:val="4B8F532F"/>
    <w:rsid w:val="4C114425"/>
    <w:rsid w:val="4CAC1104"/>
    <w:rsid w:val="4CC77493"/>
    <w:rsid w:val="4F2A14D9"/>
    <w:rsid w:val="51241F2C"/>
    <w:rsid w:val="514F1402"/>
    <w:rsid w:val="51916EE4"/>
    <w:rsid w:val="51B227FA"/>
    <w:rsid w:val="53395DD6"/>
    <w:rsid w:val="54F911EC"/>
    <w:rsid w:val="562260D0"/>
    <w:rsid w:val="56CD0BC8"/>
    <w:rsid w:val="587B2608"/>
    <w:rsid w:val="58A572C3"/>
    <w:rsid w:val="592E3352"/>
    <w:rsid w:val="59A3360E"/>
    <w:rsid w:val="5A684631"/>
    <w:rsid w:val="5A7F7B1F"/>
    <w:rsid w:val="5A987B62"/>
    <w:rsid w:val="5BAA6E73"/>
    <w:rsid w:val="5D3430F6"/>
    <w:rsid w:val="5EA558D6"/>
    <w:rsid w:val="5FC07E46"/>
    <w:rsid w:val="602B4A56"/>
    <w:rsid w:val="61651E6B"/>
    <w:rsid w:val="61B8623F"/>
    <w:rsid w:val="63ED1CB1"/>
    <w:rsid w:val="655A3EF3"/>
    <w:rsid w:val="66074B20"/>
    <w:rsid w:val="676F4533"/>
    <w:rsid w:val="67F65A44"/>
    <w:rsid w:val="68776D2D"/>
    <w:rsid w:val="68B62EEE"/>
    <w:rsid w:val="68D53504"/>
    <w:rsid w:val="6A590DE0"/>
    <w:rsid w:val="6AFE019A"/>
    <w:rsid w:val="6BF459B6"/>
    <w:rsid w:val="6D367A39"/>
    <w:rsid w:val="6E2E31EC"/>
    <w:rsid w:val="6EB17135"/>
    <w:rsid w:val="6ED87803"/>
    <w:rsid w:val="6F56450C"/>
    <w:rsid w:val="6F9455FA"/>
    <w:rsid w:val="6FC700F2"/>
    <w:rsid w:val="71DD652B"/>
    <w:rsid w:val="75E45DCF"/>
    <w:rsid w:val="760A0098"/>
    <w:rsid w:val="768D0527"/>
    <w:rsid w:val="76CA77F5"/>
    <w:rsid w:val="77EA1FCC"/>
    <w:rsid w:val="77F50B42"/>
    <w:rsid w:val="78993069"/>
    <w:rsid w:val="795D3561"/>
    <w:rsid w:val="7A091FC6"/>
    <w:rsid w:val="7A6F6687"/>
    <w:rsid w:val="7A7B08FF"/>
    <w:rsid w:val="7B2F54B5"/>
    <w:rsid w:val="7B773956"/>
    <w:rsid w:val="7C030612"/>
    <w:rsid w:val="7C07400A"/>
    <w:rsid w:val="7C4C2BB9"/>
    <w:rsid w:val="7D0D5AB6"/>
    <w:rsid w:val="7D973E2A"/>
    <w:rsid w:val="7DA539A6"/>
    <w:rsid w:val="7DEE0627"/>
    <w:rsid w:val="7E8E5B54"/>
    <w:rsid w:val="7F3C0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1934BC6"/>
  <w15:docId w15:val="{C23355F0-D7D7-4BB4-8B41-E0BC4E7A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uiPriority="10" w:qFormat="1"/>
    <w:lsdException w:name="Signature" w:qFormat="1"/>
    <w:lsdException w:name="Default Paragraph Font" w:semiHidden="1" w:uiPriority="1" w:unhideWhenUsed="1" w:qFormat="1"/>
    <w:lsdException w:name="Body Text" w:qFormat="1"/>
    <w:lsdException w:name="Subtitle" w:qFormat="1"/>
    <w:lsdException w:name="Salutation" w:qFormat="1"/>
    <w:lsdException w:name="Date" w:qFormat="1"/>
    <w:lsdException w:name="Hyperlink"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afterLines="20" w:after="20" w:line="288" w:lineRule="auto"/>
      <w:ind w:firstLineChars="200" w:firstLine="420"/>
    </w:pPr>
    <w:rPr>
      <w:rFonts w:ascii="微软雅黑" w:eastAsia="微软雅黑" w:hAnsi="微软雅黑" w:cstheme="minorBidi"/>
      <w:kern w:val="2"/>
      <w:sz w:val="21"/>
      <w:szCs w:val="21"/>
    </w:rPr>
  </w:style>
  <w:style w:type="paragraph" w:styleId="1">
    <w:name w:val="heading 1"/>
    <w:next w:val="a"/>
    <w:uiPriority w:val="9"/>
    <w:qFormat/>
    <w:pPr>
      <w:keepNext/>
      <w:keepLines/>
      <w:numPr>
        <w:numId w:val="1"/>
      </w:numPr>
      <w:tabs>
        <w:tab w:val="left" w:pos="0"/>
      </w:tabs>
      <w:adjustRightInd w:val="0"/>
      <w:snapToGrid w:val="0"/>
      <w:spacing w:beforeLines="100" w:before="100" w:afterLines="20" w:after="20" w:line="288" w:lineRule="auto"/>
      <w:outlineLvl w:val="0"/>
    </w:pPr>
    <w:rPr>
      <w:rFonts w:ascii="微软雅黑" w:eastAsia="黑体" w:hAnsi="微软雅黑" w:cstheme="minorBidi"/>
      <w:b/>
      <w:bCs/>
      <w:kern w:val="44"/>
      <w:sz w:val="36"/>
      <w:szCs w:val="36"/>
    </w:rPr>
  </w:style>
  <w:style w:type="paragraph" w:styleId="2">
    <w:name w:val="heading 2"/>
    <w:next w:val="a"/>
    <w:uiPriority w:val="9"/>
    <w:unhideWhenUsed/>
    <w:qFormat/>
    <w:pPr>
      <w:numPr>
        <w:ilvl w:val="1"/>
        <w:numId w:val="1"/>
      </w:numPr>
      <w:tabs>
        <w:tab w:val="left" w:pos="0"/>
      </w:tabs>
      <w:adjustRightInd w:val="0"/>
      <w:snapToGrid w:val="0"/>
      <w:spacing w:beforeLines="50" w:before="50" w:afterLines="20" w:after="20" w:line="288" w:lineRule="auto"/>
      <w:outlineLvl w:val="1"/>
    </w:pPr>
    <w:rPr>
      <w:rFonts w:ascii="微软雅黑" w:eastAsia="微软雅黑" w:hAnsi="微软雅黑" w:cstheme="minorBidi"/>
      <w:b/>
      <w:bCs/>
      <w:kern w:val="2"/>
      <w:sz w:val="30"/>
      <w:szCs w:val="32"/>
    </w:rPr>
  </w:style>
  <w:style w:type="paragraph" w:styleId="3">
    <w:name w:val="heading 3"/>
    <w:next w:val="a"/>
    <w:uiPriority w:val="9"/>
    <w:unhideWhenUsed/>
    <w:qFormat/>
    <w:pPr>
      <w:numPr>
        <w:ilvl w:val="2"/>
        <w:numId w:val="1"/>
      </w:numPr>
      <w:tabs>
        <w:tab w:val="left" w:pos="0"/>
        <w:tab w:val="left" w:pos="312"/>
      </w:tabs>
      <w:adjustRightInd w:val="0"/>
      <w:snapToGrid w:val="0"/>
      <w:spacing w:beforeLines="50" w:before="50" w:afterLines="20" w:after="20" w:line="288" w:lineRule="auto"/>
      <w:outlineLvl w:val="2"/>
    </w:pPr>
    <w:rPr>
      <w:rFonts w:ascii="微软雅黑" w:eastAsia="微软雅黑" w:hAnsi="微软雅黑" w:cstheme="minorBidi"/>
      <w:b/>
      <w:kern w:val="2"/>
      <w:sz w:val="28"/>
      <w:szCs w:val="30"/>
    </w:rPr>
  </w:style>
  <w:style w:type="paragraph" w:styleId="4">
    <w:name w:val="heading 4"/>
    <w:next w:val="a"/>
    <w:uiPriority w:val="9"/>
    <w:unhideWhenUsed/>
    <w:qFormat/>
    <w:pPr>
      <w:numPr>
        <w:ilvl w:val="3"/>
        <w:numId w:val="1"/>
      </w:numPr>
      <w:tabs>
        <w:tab w:val="left" w:pos="0"/>
      </w:tabs>
      <w:adjustRightInd w:val="0"/>
      <w:snapToGrid w:val="0"/>
      <w:spacing w:beforeLines="50" w:before="50" w:afterLines="20" w:after="20" w:line="288" w:lineRule="auto"/>
      <w:outlineLvl w:val="3"/>
    </w:pPr>
    <w:rPr>
      <w:rFonts w:ascii="微软雅黑" w:eastAsia="黑体" w:hAnsi="微软雅黑" w:cstheme="minorBidi"/>
      <w:b/>
      <w:bCs/>
      <w:sz w:val="24"/>
      <w:szCs w:val="28"/>
    </w:rPr>
  </w:style>
  <w:style w:type="paragraph" w:styleId="5">
    <w:name w:val="heading 5"/>
    <w:basedOn w:val="a"/>
    <w:next w:val="a0"/>
    <w:uiPriority w:val="9"/>
    <w:unhideWhenUsed/>
    <w:qFormat/>
    <w:pPr>
      <w:numPr>
        <w:ilvl w:val="4"/>
        <w:numId w:val="1"/>
      </w:numPr>
      <w:tabs>
        <w:tab w:val="left" w:pos="312"/>
      </w:tabs>
      <w:spacing w:beforeLines="50" w:before="50"/>
      <w:outlineLvl w:val="4"/>
    </w:pPr>
    <w:rPr>
      <w:rFonts w:ascii="Arial" w:hAnsi="Arial"/>
      <w:b/>
      <w:sz w:val="24"/>
      <w:szCs w:val="22"/>
    </w:rPr>
  </w:style>
  <w:style w:type="paragraph" w:styleId="6">
    <w:name w:val="heading 6"/>
    <w:basedOn w:val="a"/>
    <w:next w:val="a0"/>
    <w:unhideWhenUsed/>
    <w:qFormat/>
    <w:pPr>
      <w:numPr>
        <w:ilvl w:val="5"/>
        <w:numId w:val="1"/>
      </w:numPr>
      <w:tabs>
        <w:tab w:val="left" w:pos="0"/>
      </w:tabs>
      <w:spacing w:beforeLines="50" w:before="50"/>
      <w:outlineLvl w:val="5"/>
    </w:pPr>
    <w:rPr>
      <w:b/>
      <w:bCs/>
      <w:sz w:val="24"/>
    </w:rPr>
  </w:style>
  <w:style w:type="paragraph" w:styleId="7">
    <w:name w:val="heading 7"/>
    <w:basedOn w:val="a"/>
    <w:next w:val="a0"/>
    <w:unhideWhenUsed/>
    <w:qFormat/>
    <w:pPr>
      <w:numPr>
        <w:ilvl w:val="6"/>
        <w:numId w:val="1"/>
      </w:numPr>
      <w:spacing w:beforeLines="50" w:before="50"/>
      <w:outlineLvl w:val="6"/>
    </w:pPr>
    <w:rPr>
      <w:b/>
      <w:bCs/>
      <w:sz w:val="24"/>
    </w:rPr>
  </w:style>
  <w:style w:type="paragraph" w:styleId="8">
    <w:name w:val="heading 8"/>
    <w:basedOn w:val="a"/>
    <w:next w:val="a0"/>
    <w:unhideWhenUsed/>
    <w:qFormat/>
    <w:pPr>
      <w:numPr>
        <w:ilvl w:val="7"/>
        <w:numId w:val="1"/>
      </w:numPr>
      <w:tabs>
        <w:tab w:val="left" w:pos="0"/>
      </w:tabs>
      <w:spacing w:beforeLines="50" w:before="50"/>
      <w:outlineLvl w:val="7"/>
    </w:pPr>
    <w:rPr>
      <w:rFonts w:cstheme="majorBidi"/>
      <w:b/>
      <w:bCs/>
      <w:sz w:val="24"/>
    </w:rPr>
  </w:style>
  <w:style w:type="paragraph" w:styleId="9">
    <w:name w:val="heading 9"/>
    <w:basedOn w:val="a"/>
    <w:next w:val="a0"/>
    <w:unhideWhenUsed/>
    <w:qFormat/>
    <w:pPr>
      <w:numPr>
        <w:ilvl w:val="8"/>
        <w:numId w:val="1"/>
      </w:numPr>
      <w:spacing w:beforeLines="50" w:before="50"/>
      <w:outlineLvl w:val="8"/>
    </w:pPr>
    <w:rPr>
      <w:rFonts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line="240" w:lineRule="auto"/>
      <w:ind w:firstLineChars="0" w:firstLine="0"/>
      <w:jc w:val="center"/>
    </w:pPr>
  </w:style>
  <w:style w:type="paragraph" w:styleId="a5">
    <w:name w:val="caption"/>
    <w:basedOn w:val="a"/>
    <w:next w:val="a"/>
    <w:unhideWhenUsed/>
    <w:qFormat/>
    <w:pPr>
      <w:ind w:firstLineChars="0" w:firstLine="0"/>
      <w:jc w:val="center"/>
    </w:pPr>
    <w:rPr>
      <w:rFonts w:cs="Times New Roman"/>
      <w:b/>
      <w:sz w:val="20"/>
      <w:szCs w:val="20"/>
    </w:rPr>
  </w:style>
  <w:style w:type="paragraph" w:styleId="a6">
    <w:name w:val="annotation text"/>
    <w:basedOn w:val="a"/>
    <w:qFormat/>
    <w:rPr>
      <w:color w:val="646464" w:themeColor="text1" w:themeTint="D9"/>
    </w:rPr>
  </w:style>
  <w:style w:type="paragraph" w:styleId="a7">
    <w:name w:val="Salutation"/>
    <w:basedOn w:val="a"/>
    <w:next w:val="a"/>
    <w:qFormat/>
    <w:pPr>
      <w:ind w:firstLineChars="0" w:firstLine="0"/>
    </w:pPr>
  </w:style>
  <w:style w:type="paragraph" w:styleId="a8">
    <w:name w:val="Date"/>
    <w:basedOn w:val="a"/>
    <w:next w:val="a"/>
    <w:qFormat/>
    <w:pPr>
      <w:ind w:firstLineChars="0" w:firstLine="0"/>
      <w:jc w:val="right"/>
    </w:pPr>
    <w:rPr>
      <w:color w:val="646464" w:themeColor="text1" w:themeTint="D9"/>
    </w:rPr>
  </w:style>
  <w:style w:type="paragraph" w:styleId="a9">
    <w:name w:val="endnote text"/>
    <w:basedOn w:val="a"/>
    <w:qFormat/>
    <w:rPr>
      <w:color w:val="646464" w:themeColor="text1" w:themeTint="D9"/>
    </w:rPr>
  </w:style>
  <w:style w:type="paragraph" w:styleId="aa">
    <w:name w:val="Balloon Text"/>
    <w:basedOn w:val="a"/>
    <w:qFormat/>
    <w:rPr>
      <w:sz w:val="18"/>
      <w:szCs w:val="18"/>
    </w:rPr>
  </w:style>
  <w:style w:type="paragraph" w:styleId="ab">
    <w:name w:val="footer"/>
    <w:basedOn w:val="a"/>
    <w:qFormat/>
    <w:pPr>
      <w:tabs>
        <w:tab w:val="center" w:pos="4153"/>
        <w:tab w:val="right" w:pos="8306"/>
      </w:tabs>
      <w:ind w:firstLineChars="0" w:firstLine="0"/>
    </w:pPr>
    <w:rPr>
      <w:sz w:val="18"/>
      <w:szCs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ind w:firstLineChars="0" w:firstLine="0"/>
    </w:pPr>
    <w:rPr>
      <w:sz w:val="18"/>
      <w:szCs w:val="18"/>
    </w:rPr>
  </w:style>
  <w:style w:type="paragraph" w:styleId="ad">
    <w:name w:val="Signature"/>
    <w:basedOn w:val="a"/>
    <w:qFormat/>
    <w:pPr>
      <w:ind w:firstLineChars="0" w:firstLine="0"/>
      <w:jc w:val="right"/>
    </w:pPr>
    <w:rPr>
      <w:color w:val="646464" w:themeColor="text1" w:themeTint="D9"/>
    </w:rPr>
  </w:style>
  <w:style w:type="paragraph" w:styleId="TOC1">
    <w:name w:val="toc 1"/>
    <w:basedOn w:val="a"/>
    <w:next w:val="a"/>
    <w:qFormat/>
  </w:style>
  <w:style w:type="paragraph" w:styleId="ae">
    <w:name w:val="Subtitle"/>
    <w:basedOn w:val="a"/>
    <w:next w:val="a0"/>
    <w:qFormat/>
    <w:pPr>
      <w:spacing w:afterLines="100" w:after="100" w:line="240" w:lineRule="auto"/>
      <w:jc w:val="center"/>
    </w:pPr>
    <w:rPr>
      <w:b/>
      <w:bCs/>
      <w:kern w:val="28"/>
      <w:sz w:val="36"/>
      <w:szCs w:val="36"/>
    </w:rPr>
  </w:style>
  <w:style w:type="paragraph" w:styleId="af">
    <w:name w:val="footnote text"/>
    <w:basedOn w:val="a"/>
    <w:qFormat/>
    <w:rPr>
      <w:sz w:val="24"/>
    </w:rPr>
  </w:style>
  <w:style w:type="paragraph" w:styleId="TOC2">
    <w:name w:val="toc 2"/>
    <w:basedOn w:val="a"/>
    <w:next w:val="a"/>
    <w:pPr>
      <w:ind w:leftChars="200" w:left="420"/>
    </w:pPr>
  </w:style>
  <w:style w:type="paragraph" w:styleId="af0">
    <w:name w:val="Normal (Web)"/>
    <w:basedOn w:val="a"/>
    <w:qFormat/>
    <w:pPr>
      <w:spacing w:beforeAutospacing="1" w:after="0" w:afterAutospacing="1"/>
    </w:pPr>
    <w:rPr>
      <w:rFonts w:cs="Times New Roman"/>
      <w:kern w:val="0"/>
      <w:sz w:val="24"/>
    </w:rPr>
  </w:style>
  <w:style w:type="paragraph" w:styleId="af1">
    <w:name w:val="Title"/>
    <w:basedOn w:val="a"/>
    <w:uiPriority w:val="10"/>
    <w:qFormat/>
    <w:pPr>
      <w:spacing w:afterLines="100" w:after="100"/>
      <w:jc w:val="center"/>
    </w:pPr>
    <w:rPr>
      <w:b/>
      <w:bCs/>
      <w:sz w:val="48"/>
      <w:szCs w:val="48"/>
    </w:rPr>
  </w:style>
  <w:style w:type="paragraph" w:styleId="af2">
    <w:name w:val="annotation subject"/>
    <w:basedOn w:val="a6"/>
    <w:next w:val="a6"/>
    <w:qFormat/>
    <w:rPr>
      <w:b/>
      <w:bCs/>
      <w:color w:val="646464" w:themeColor="text1" w:themeTint="D9"/>
    </w:rPr>
  </w:style>
  <w:style w:type="character" w:styleId="af3">
    <w:name w:val="Strong"/>
    <w:basedOn w:val="a1"/>
    <w:uiPriority w:val="22"/>
    <w:qFormat/>
    <w:rPr>
      <w:rFonts w:ascii="微软雅黑" w:eastAsia="微软雅黑" w:hAnsi="微软雅黑"/>
      <w:b/>
      <w:color w:val="auto"/>
      <w:u w:val="single"/>
    </w:rPr>
  </w:style>
  <w:style w:type="character" w:styleId="af4">
    <w:name w:val="endnote reference"/>
    <w:basedOn w:val="a1"/>
    <w:qFormat/>
    <w:rPr>
      <w:rFonts w:ascii="微软雅黑" w:eastAsia="微软雅黑" w:hAnsi="微软雅黑"/>
      <w:color w:val="646464" w:themeColor="text1" w:themeTint="D9"/>
      <w:vertAlign w:val="superscript"/>
    </w:rPr>
  </w:style>
  <w:style w:type="character" w:styleId="af5">
    <w:name w:val="page number"/>
    <w:qFormat/>
    <w:rPr>
      <w:rFonts w:ascii="微软雅黑" w:eastAsia="微软雅黑" w:hAnsi="微软雅黑" w:cs="Times New Roman"/>
      <w:color w:val="646464" w:themeColor="text1" w:themeTint="D9"/>
      <w:spacing w:val="-6"/>
      <w:kern w:val="2"/>
      <w:sz w:val="21"/>
      <w:szCs w:val="21"/>
      <w:lang w:val="en-US" w:eastAsia="zh-CN" w:bidi="ar-SA"/>
    </w:rPr>
  </w:style>
  <w:style w:type="character" w:styleId="af6">
    <w:name w:val="FollowedHyperlink"/>
    <w:basedOn w:val="a1"/>
    <w:qFormat/>
    <w:rPr>
      <w:rFonts w:ascii="微软雅黑" w:eastAsia="微软雅黑" w:hAnsi="微软雅黑" w:cs="Times New Roman"/>
      <w:color w:val="800080"/>
      <w:spacing w:val="-6"/>
      <w:kern w:val="2"/>
      <w:sz w:val="24"/>
      <w:szCs w:val="24"/>
      <w:u w:val="single"/>
      <w:lang w:val="en-US" w:eastAsia="zh-CN" w:bidi="ar-SA"/>
    </w:rPr>
  </w:style>
  <w:style w:type="character" w:styleId="af7">
    <w:name w:val="Emphasis"/>
    <w:basedOn w:val="a1"/>
    <w:uiPriority w:val="20"/>
    <w:qFormat/>
    <w:rPr>
      <w:rFonts w:ascii="Arial" w:eastAsia="微软雅黑" w:hAnsi="Arial"/>
      <w:b/>
      <w:bCs/>
      <w:i/>
      <w:color w:val="auto"/>
      <w:sz w:val="24"/>
      <w:szCs w:val="22"/>
    </w:rPr>
  </w:style>
  <w:style w:type="character" w:styleId="af8">
    <w:name w:val="Hyperlink"/>
    <w:basedOn w:val="a1"/>
    <w:qFormat/>
    <w:rPr>
      <w:rFonts w:ascii="微软雅黑" w:eastAsia="微软雅黑" w:hAnsi="微软雅黑" w:cs="Times New Roman"/>
      <w:caps/>
      <w:color w:val="0000FF"/>
      <w:spacing w:val="-6"/>
      <w:kern w:val="2"/>
      <w:sz w:val="24"/>
      <w:szCs w:val="24"/>
      <w:u w:val="single"/>
      <w:lang w:val="en-US" w:eastAsia="zh-CN" w:bidi="ar-SA"/>
    </w:rPr>
  </w:style>
  <w:style w:type="character" w:styleId="af9">
    <w:name w:val="annotation reference"/>
    <w:basedOn w:val="a1"/>
    <w:qFormat/>
    <w:rPr>
      <w:rFonts w:ascii="微软雅黑" w:eastAsia="微软雅黑" w:hAnsi="微软雅黑"/>
      <w:color w:val="646464" w:themeColor="text1" w:themeTint="D9"/>
      <w:sz w:val="21"/>
      <w:szCs w:val="21"/>
    </w:rPr>
  </w:style>
  <w:style w:type="character" w:styleId="afa">
    <w:name w:val="footnote reference"/>
    <w:basedOn w:val="a1"/>
    <w:qFormat/>
    <w:rPr>
      <w:rFonts w:ascii="微软雅黑" w:eastAsia="微软雅黑" w:hAnsi="微软雅黑"/>
      <w:color w:val="646464" w:themeColor="text1" w:themeTint="D9"/>
      <w:vertAlign w:val="superscript"/>
    </w:rPr>
  </w:style>
  <w:style w:type="paragraph" w:customStyle="1" w:styleId="afb">
    <w:name w:val="文档说明标题"/>
    <w:basedOn w:val="a"/>
    <w:next w:val="a"/>
    <w:qFormat/>
    <w:pPr>
      <w:spacing w:afterLines="100" w:after="100" w:line="240" w:lineRule="auto"/>
      <w:ind w:firstLineChars="0" w:firstLine="0"/>
      <w:jc w:val="center"/>
    </w:pPr>
    <w:rPr>
      <w:b/>
      <w:bCs/>
      <w:sz w:val="48"/>
      <w:szCs w:val="48"/>
      <w:lang w:eastAsia="zh-Hans"/>
    </w:rPr>
  </w:style>
  <w:style w:type="paragraph" w:customStyle="1" w:styleId="afc">
    <w:name w:val="附录标题"/>
    <w:next w:val="a0"/>
    <w:qFormat/>
    <w:pPr>
      <w:tabs>
        <w:tab w:val="left" w:pos="0"/>
      </w:tabs>
      <w:adjustRightInd w:val="0"/>
      <w:snapToGrid w:val="0"/>
      <w:spacing w:afterLines="100" w:after="100"/>
      <w:jc w:val="center"/>
    </w:pPr>
    <w:rPr>
      <w:rFonts w:ascii="微软雅黑" w:eastAsia="微软雅黑" w:hAnsi="微软雅黑" w:cstheme="minorBidi"/>
      <w:b/>
      <w:bCs/>
      <w:kern w:val="28"/>
      <w:sz w:val="44"/>
      <w:szCs w:val="44"/>
    </w:rPr>
  </w:style>
  <w:style w:type="paragraph" w:customStyle="1" w:styleId="afd">
    <w:name w:val="章标题"/>
    <w:basedOn w:val="a"/>
    <w:next w:val="a"/>
    <w:qFormat/>
    <w:pPr>
      <w:spacing w:afterLines="100" w:after="100" w:line="240" w:lineRule="auto"/>
      <w:jc w:val="center"/>
      <w:outlineLvl w:val="0"/>
    </w:pPr>
    <w:rPr>
      <w:rFonts w:hint="eastAsia"/>
      <w:b/>
      <w:bCs/>
      <w:kern w:val="28"/>
      <w:sz w:val="44"/>
      <w:szCs w:val="44"/>
    </w:rPr>
  </w:style>
  <w:style w:type="paragraph" w:customStyle="1" w:styleId="afe">
    <w:name w:val="节标题"/>
    <w:basedOn w:val="a"/>
    <w:next w:val="a"/>
    <w:qFormat/>
    <w:pPr>
      <w:spacing w:afterLines="100" w:after="100" w:line="240" w:lineRule="auto"/>
      <w:jc w:val="center"/>
      <w:outlineLvl w:val="0"/>
    </w:pPr>
    <w:rPr>
      <w:rFonts w:hint="eastAsia"/>
      <w:b/>
      <w:bCs/>
      <w:kern w:val="28"/>
      <w:sz w:val="36"/>
      <w:szCs w:val="36"/>
    </w:rPr>
  </w:style>
  <w:style w:type="character" w:customStyle="1" w:styleId="aff">
    <w:name w:val="摘要"/>
    <w:basedOn w:val="a1"/>
    <w:qFormat/>
    <w:rPr>
      <w:rFonts w:ascii="Arial" w:hAnsi="Arial" w:hint="eastAsia"/>
      <w:b/>
      <w:lang w:val="en-US" w:eastAsia="zh-CN"/>
    </w:rPr>
  </w:style>
  <w:style w:type="character" w:customStyle="1" w:styleId="aff0">
    <w:name w:val="关键词"/>
    <w:basedOn w:val="a1"/>
    <w:qFormat/>
    <w:rPr>
      <w:rFonts w:ascii="Arial" w:hAnsi="Arial" w:hint="eastAsia"/>
      <w:b/>
      <w:lang w:val="en-US" w:eastAsia="zh-CN"/>
    </w:rPr>
  </w:style>
  <w:style w:type="paragraph" w:customStyle="1" w:styleId="10">
    <w:name w:val="题注1"/>
    <w:basedOn w:val="a"/>
    <w:qFormat/>
    <w:pPr>
      <w:jc w:val="center"/>
    </w:pPr>
    <w:rPr>
      <w:rFonts w:hint="eastAsia"/>
      <w:sz w:val="20"/>
      <w:szCs w:val="20"/>
    </w:rPr>
  </w:style>
  <w:style w:type="paragraph" w:customStyle="1" w:styleId="aff1">
    <w:name w:val="主送对象"/>
    <w:next w:val="a0"/>
    <w:qFormat/>
    <w:pPr>
      <w:adjustRightInd w:val="0"/>
      <w:snapToGrid w:val="0"/>
      <w:spacing w:line="288" w:lineRule="auto"/>
    </w:pPr>
    <w:rPr>
      <w:rFonts w:ascii="微软雅黑" w:eastAsia="微软雅黑" w:hAnsi="微软雅黑"/>
      <w:color w:val="646464" w:themeColor="text1" w:themeTint="D9"/>
      <w:sz w:val="24"/>
      <w:szCs w:val="24"/>
    </w:rPr>
  </w:style>
  <w:style w:type="paragraph" w:customStyle="1" w:styleId="aff2">
    <w:name w:val="目录标题"/>
    <w:basedOn w:val="a"/>
    <w:qFormat/>
    <w:pPr>
      <w:spacing w:afterLines="0" w:line="240" w:lineRule="auto"/>
      <w:ind w:firstLineChars="0" w:firstLine="0"/>
      <w:jc w:val="center"/>
    </w:pPr>
    <w:rPr>
      <w:b/>
      <w:sz w:val="28"/>
      <w:szCs w:val="28"/>
    </w:rPr>
  </w:style>
  <w:style w:type="paragraph" w:customStyle="1" w:styleId="aff3">
    <w:name w:val="致谢标题"/>
    <w:qFormat/>
    <w:pPr>
      <w:adjustRightInd w:val="0"/>
      <w:snapToGrid w:val="0"/>
      <w:spacing w:afterLines="100" w:after="100"/>
      <w:jc w:val="center"/>
      <w:outlineLvl w:val="0"/>
    </w:pPr>
    <w:rPr>
      <w:rFonts w:ascii="微软雅黑" w:eastAsia="微软雅黑" w:hAnsi="微软雅黑" w:cstheme="minorBidi"/>
      <w:b/>
      <w:bCs/>
      <w:kern w:val="28"/>
      <w:sz w:val="44"/>
      <w:szCs w:val="44"/>
    </w:rPr>
  </w:style>
  <w:style w:type="paragraph" w:customStyle="1" w:styleId="aff4">
    <w:name w:val="声明标题"/>
    <w:next w:val="a0"/>
    <w:qFormat/>
    <w:pPr>
      <w:adjustRightInd w:val="0"/>
      <w:snapToGrid w:val="0"/>
      <w:spacing w:afterLines="100" w:after="100"/>
      <w:jc w:val="center"/>
    </w:pPr>
    <w:rPr>
      <w:rFonts w:ascii="微软雅黑" w:eastAsia="微软雅黑" w:hAnsi="微软雅黑" w:cstheme="minorBidi"/>
      <w:b/>
      <w:bCs/>
      <w:kern w:val="28"/>
      <w:sz w:val="44"/>
      <w:szCs w:val="44"/>
    </w:rPr>
  </w:style>
  <w:style w:type="paragraph" w:customStyle="1" w:styleId="aff5">
    <w:name w:val="参考文献标题"/>
    <w:link w:val="Char"/>
    <w:pPr>
      <w:adjustRightInd w:val="0"/>
      <w:snapToGrid w:val="0"/>
      <w:spacing w:afterLines="100" w:after="100"/>
      <w:jc w:val="center"/>
    </w:pPr>
    <w:rPr>
      <w:rFonts w:ascii="微软雅黑" w:eastAsia="微软雅黑" w:hAnsi="微软雅黑" w:cstheme="minorBidi"/>
      <w:b/>
      <w:bCs/>
      <w:sz w:val="44"/>
      <w:szCs w:val="44"/>
    </w:rPr>
  </w:style>
  <w:style w:type="character" w:customStyle="1" w:styleId="Char">
    <w:name w:val="参考文献标题 Char"/>
    <w:link w:val="aff5"/>
    <w:qFormat/>
    <w:rPr>
      <w:rFonts w:ascii="微软雅黑" w:eastAsia="微软雅黑" w:hAnsi="微软雅黑"/>
      <w:b/>
      <w:bCs/>
      <w:sz w:val="44"/>
      <w:szCs w:val="44"/>
      <w:lang w:val="en-US" w:eastAsia="zh-CN"/>
    </w:rPr>
  </w:style>
  <w:style w:type="character" w:customStyle="1" w:styleId="qk-md-text">
    <w:name w:val="qk-md-text"/>
    <w:basedOn w:val="a1"/>
  </w:style>
  <w:style w:type="character" w:customStyle="1" w:styleId="a4">
    <w:name w:val="正文文本 字符"/>
    <w:link w:val="a0"/>
    <w:rPr>
      <w:rFonts w:eastAsia="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494949"/>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22</Pages>
  <Words>2151</Words>
  <Characters>12261</Characters>
  <Application>Microsoft Office Word</Application>
  <DocSecurity>0</DocSecurity>
  <Lines>102</Lines>
  <Paragraphs>28</Paragraphs>
  <ScaleCrop>false</ScaleCrop>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老王很旺</dc:creator>
  <cp:lastModifiedBy>Zhu LiZoo</cp:lastModifiedBy>
  <cp:revision>2</cp:revision>
  <dcterms:created xsi:type="dcterms:W3CDTF">2026-01-11T07:21:00Z</dcterms:created>
  <dcterms:modified xsi:type="dcterms:W3CDTF">2026-01-11T07:21:00Z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0A31A76EB73C450CA21610F7B0AAED5F_13</vt:lpwstr>
  </property>
  <property fmtid="{D5CDD505-2E9C-101B-9397-08002B2CF9AE}" pid="4" name="KSOTemplateDocerSaveRecord">
    <vt:lpwstr>eyJoZGlkIjoiYzkyZjdkN2EzMjJhNDlhNTQyODgzZWZkY2YyNDA1MmYiLCJ1c2VySWQiOiI4ODUyODAwMTAifQ==</vt:lpwstr>
  </property>
</Properties>
</file>