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references-resources"/>
    <w:p>
      <w:pPr>
        <w:pStyle w:val="Heading1"/>
      </w:pPr>
      <w:r>
        <w:t xml:space="preserve">References &amp; Resources</w:t>
      </w:r>
    </w:p>
    <w:bookmarkStart w:id="9" w:name="X69881e63233cabfcbfa74886d693cb2be8334a8"/>
    <w:p>
      <w:pPr>
        <w:pStyle w:val="Heading2"/>
      </w:pPr>
      <w:r>
        <w:t xml:space="preserve">Carbon Credit Eligibility AI Documentation</w:t>
      </w:r>
    </w:p>
    <w:p>
      <w:pPr>
        <w:pStyle w:val="FirstParagraph"/>
      </w:pPr>
      <w:r>
        <w:rPr>
          <w:b/>
          <w:bCs/>
        </w:rPr>
        <w:t xml:space="preserve">Date:</w:t>
      </w:r>
      <w:r>
        <w:t xml:space="preserve"> </w:t>
      </w:r>
      <w:r>
        <w:t xml:space="preserve">November 28, 2025</w:t>
      </w:r>
      <w:r>
        <w:br/>
      </w:r>
      <w:r>
        <w:rPr>
          <w:b/>
          <w:bCs/>
        </w:rPr>
        <w:t xml:space="preserve">Deployment Scope:</w:t>
      </w:r>
      <w:r>
        <w:t xml:space="preserve"> </w:t>
      </w:r>
      <w:r>
        <w:t xml:space="preserve">New Zealand Only</w:t>
      </w:r>
      <w:r>
        <w:br/>
      </w:r>
      <w:r>
        <w:rPr>
          <w:b/>
          <w:bCs/>
        </w:rPr>
        <w:t xml:space="preserve">Purpose:</w:t>
      </w:r>
      <w:r>
        <w:t xml:space="preserve"> </w:t>
      </w:r>
      <w:r>
        <w:t xml:space="preserve">Comprehensive reference list for validation report, risk mitigation strategy, and legal compliance checklist</w:t>
      </w:r>
    </w:p>
    <w:p>
      <w:r>
        <w:pict>
          <v:rect style="width:0;height:1.5pt" o:hralign="center" o:hrstd="t" o:hr="t"/>
        </w:pict>
      </w:r>
    </w:p>
    <w:bookmarkEnd w:id="9"/>
    <w:bookmarkStart w:id="15" w:name="legal-regulatory-references"/>
    <w:p>
      <w:pPr>
        <w:pStyle w:val="Heading2"/>
      </w:pPr>
      <w:r>
        <w:t xml:space="preserve">1. Legal &amp; Regulatory References</w:t>
      </w:r>
    </w:p>
    <w:bookmarkStart w:id="10" w:name="new-zealand-privacy-data-protection"/>
    <w:p>
      <w:pPr>
        <w:pStyle w:val="Heading3"/>
      </w:pPr>
      <w:r>
        <w:t xml:space="preserve">1.1 New Zealand Privacy &amp; Data Protection</w:t>
      </w:r>
    </w:p>
    <w:p>
      <w:pPr>
        <w:pStyle w:val="FirstParagraph"/>
      </w:pPr>
      <w:r>
        <w:rPr>
          <w:b/>
          <w:bCs/>
        </w:rPr>
        <w:t xml:space="preserve">New Zealand Privacy Act 2020</w:t>
      </w:r>
      <w:r>
        <w:t xml:space="preserve"> </w:t>
      </w:r>
      <w:r>
        <w:t xml:space="preserve">- Official Legislation: https://www.legislation.govt.nz/act/public/2020/0031/latest/LMS23223.html</w:t>
      </w:r>
      <w:r>
        <w:t xml:space="preserve"> </w:t>
      </w:r>
      <w:r>
        <w:t xml:space="preserve">- Office of the Privacy Commissioner: https://www.privacy.org.nz/</w:t>
      </w:r>
      <w:r>
        <w:t xml:space="preserve"> </w:t>
      </w:r>
      <w:r>
        <w:t xml:space="preserve">- Privacy Principles Guide: https://www.privacy.org.nz/privacy-act-2020/privacy-principles/</w:t>
      </w:r>
      <w:r>
        <w:t xml:space="preserve"> </w:t>
      </w:r>
      <w:r>
        <w:t xml:space="preserve">- Privacy Impact Assessment Guide: https://www.privacy.org.nz/assets/New-order/Privacy-Act-2020/Guides/PIA-guide-final.pdf</w:t>
      </w:r>
    </w:p>
    <w:p>
      <w:pPr>
        <w:pStyle w:val="BodyText"/>
      </w:pPr>
      <w:r>
        <w:rPr>
          <w:b/>
          <w:bCs/>
        </w:rPr>
        <w:t xml:space="preserve">Data Breach Notification</w:t>
      </w:r>
      <w:r>
        <w:t xml:space="preserve"> </w:t>
      </w:r>
      <w:r>
        <w:t xml:space="preserve">- Notifiable Privacy Breaches: https://www.privacy.org.nz/privacy-act-2020/notifiable-privacy-breaches/</w:t>
      </w:r>
    </w:p>
    <w:bookmarkEnd w:id="10"/>
    <w:bookmarkStart w:id="11" w:name="X8683084a7a7a7fe041bcd038a82551e5bd29b9d"/>
    <w:p>
      <w:pPr>
        <w:pStyle w:val="Heading3"/>
      </w:pPr>
      <w:r>
        <w:t xml:space="preserve">1.2 International Privacy Regulations (Reference Only - Not Applicable for NZ-Only Deployment)</w:t>
      </w:r>
    </w:p>
    <w:p>
      <w:pPr>
        <w:pStyle w:val="BlockText"/>
      </w:pPr>
      <w:r>
        <w:rPr>
          <w:b/>
          <w:bCs/>
        </w:rPr>
        <w:t xml:space="preserve">Note:</w:t>
      </w:r>
      <w:r>
        <w:t xml:space="preserve"> </w:t>
      </w:r>
      <w:r>
        <w:t xml:space="preserve">These regulations are included for reference only. As this AI system operates exclusively within New Zealand, compliance with international privacy regulations is not required unless expanding internationally in the future.</w:t>
      </w:r>
    </w:p>
    <w:p>
      <w:pPr>
        <w:pStyle w:val="FirstParagraph"/>
      </w:pPr>
      <w:r>
        <w:rPr>
          <w:b/>
          <w:bCs/>
        </w:rPr>
        <w:t xml:space="preserve">GDPR (General Data Protection Regulation)</w:t>
      </w:r>
      <w:r>
        <w:t xml:space="preserve"> </w:t>
      </w:r>
      <w:r>
        <w:t xml:space="preserve">-</w:t>
      </w:r>
      <w:r>
        <w:t xml:space="preserve"> </w:t>
      </w:r>
      <w:r>
        <w:rPr>
          <w:i/>
          <w:iCs/>
        </w:rPr>
        <w:t xml:space="preserve">Reference only</w:t>
      </w:r>
      <w:r>
        <w:t xml:space="preserve"> </w:t>
      </w:r>
      <w:r>
        <w:t xml:space="preserve">- Official EU Regulation: https://gdpr.eu/</w:t>
      </w:r>
      <w:r>
        <w:t xml:space="preserve"> </w:t>
      </w:r>
      <w:r>
        <w:t xml:space="preserve">- GDPR Full Text: https://eur-lex.europa.eu/eli/reg/2016/679/oj</w:t>
      </w:r>
      <w:r>
        <w:t xml:space="preserve"> </w:t>
      </w:r>
      <w:r>
        <w:t xml:space="preserve">- ICO (UK) GDPR Guidance: https://ico.org.uk/for-organisations/uk-gdpr-guidance-and-resources/</w:t>
      </w:r>
      <w:r>
        <w:t xml:space="preserve"> </w:t>
      </w:r>
      <w:r>
        <w:t xml:space="preserve">- Article 22 (Automated Decision Making): https://gdpr.eu/article-22-automated-individual-decision-making/</w:t>
      </w:r>
    </w:p>
    <w:p>
      <w:pPr>
        <w:pStyle w:val="BodyText"/>
      </w:pPr>
      <w:r>
        <w:rPr>
          <w:b/>
          <w:bCs/>
        </w:rPr>
        <w:t xml:space="preserve">CCPA (California Consumer Privacy Act)</w:t>
      </w:r>
      <w:r>
        <w:t xml:space="preserve"> </w:t>
      </w:r>
      <w:r>
        <w:t xml:space="preserve">-</w:t>
      </w:r>
      <w:r>
        <w:t xml:space="preserve"> </w:t>
      </w:r>
      <w:r>
        <w:rPr>
          <w:i/>
          <w:iCs/>
        </w:rPr>
        <w:t xml:space="preserve">Reference only</w:t>
      </w:r>
      <w:r>
        <w:t xml:space="preserve"> </w:t>
      </w:r>
      <w:r>
        <w:t xml:space="preserve">- Official Text: https://oag.ca.gov/privacy/ccpa</w:t>
      </w:r>
      <w:r>
        <w:t xml:space="preserve"> </w:t>
      </w:r>
      <w:r>
        <w:t xml:space="preserve">- CCPA Regulations: https://www.oag.ca.gov/privacy/ccpa</w:t>
      </w:r>
    </w:p>
    <w:p>
      <w:pPr>
        <w:pStyle w:val="BodyText"/>
      </w:pPr>
      <w:r>
        <w:rPr>
          <w:b/>
          <w:bCs/>
        </w:rPr>
        <w:t xml:space="preserve">PIPEDA (Canada)</w:t>
      </w:r>
      <w:r>
        <w:t xml:space="preserve"> </w:t>
      </w:r>
      <w:r>
        <w:t xml:space="preserve">-</w:t>
      </w:r>
      <w:r>
        <w:t xml:space="preserve"> </w:t>
      </w:r>
      <w:r>
        <w:rPr>
          <w:i/>
          <w:iCs/>
        </w:rPr>
        <w:t xml:space="preserve">Reference only</w:t>
      </w:r>
      <w:r>
        <w:t xml:space="preserve"> </w:t>
      </w:r>
      <w:r>
        <w:t xml:space="preserve">- Privacy Commissioner of Canada: https://www.priv.gc.ca/en/privacy-topics/privacy-laws-in-canada/the-personal-information-protection-and-electronic-documents-act-pipeda/</w:t>
      </w:r>
    </w:p>
    <w:bookmarkEnd w:id="11"/>
    <w:bookmarkStart w:id="12" w:name="ai-regulations-guidelines"/>
    <w:p>
      <w:pPr>
        <w:pStyle w:val="Heading3"/>
      </w:pPr>
      <w:r>
        <w:t xml:space="preserve">1.3 AI Regulations &amp; Guidelines</w:t>
      </w:r>
    </w:p>
    <w:p>
      <w:pPr>
        <w:pStyle w:val="FirstParagraph"/>
      </w:pPr>
      <w:r>
        <w:rPr>
          <w:b/>
          <w:bCs/>
        </w:rPr>
        <w:t xml:space="preserve">New Zealand Algorithm Charter</w:t>
      </w:r>
      <w:r>
        <w:t xml:space="preserve"> </w:t>
      </w:r>
      <w:r>
        <w:t xml:space="preserve">-</w:t>
      </w:r>
      <w:r>
        <w:t xml:space="preserve"> </w:t>
      </w:r>
      <w:r>
        <w:rPr>
          <w:i/>
          <w:iCs/>
        </w:rPr>
        <w:t xml:space="preserve">Primary reference</w:t>
      </w:r>
      <w:r>
        <w:t xml:space="preserve"> </w:t>
      </w:r>
      <w:r>
        <w:t xml:space="preserve">- Official Charter: https://data.govt.nz/toolkit/data-ethics/government-algorithm-transparency-and-accountability/</w:t>
      </w:r>
      <w:r>
        <w:t xml:space="preserve"> </w:t>
      </w:r>
      <w:r>
        <w:t xml:space="preserve">- Stats NZ Algorithm Assessment: https://data.govt.nz/assets/data-ethics/algorithm/Algorithm-assessment_Final.pdf</w:t>
      </w:r>
    </w:p>
    <w:p>
      <w:pPr>
        <w:pStyle w:val="BodyText"/>
      </w:pPr>
      <w:r>
        <w:rPr>
          <w:b/>
          <w:bCs/>
        </w:rPr>
        <w:t xml:space="preserve">EU AI Act</w:t>
      </w:r>
      <w:r>
        <w:t xml:space="preserve"> </w:t>
      </w:r>
      <w:r>
        <w:t xml:space="preserve">-</w:t>
      </w:r>
      <w:r>
        <w:t xml:space="preserve"> </w:t>
      </w:r>
      <w:r>
        <w:rPr>
          <w:i/>
          <w:iCs/>
        </w:rPr>
        <w:t xml:space="preserve">Reference only (not applicable to NZ-only deployment)</w:t>
      </w:r>
      <w:r>
        <w:t xml:space="preserve"> </w:t>
      </w:r>
      <w:r>
        <w:t xml:space="preserve">- European Parliament Position: https://www.europarl.europa.eu/legislative-train/theme-a-europe-fit-for-the-digital-age/file-regulation-on-artificial-intelligence</w:t>
      </w:r>
      <w:r>
        <w:t xml:space="preserve"> </w:t>
      </w:r>
      <w:r>
        <w:t xml:space="preserve">- EU AI Act Text: https://eur-lex.europa.eu/legal-content/EN/TXT/?uri=CELEX:52021PC0206</w:t>
      </w:r>
    </w:p>
    <w:p>
      <w:pPr>
        <w:pStyle w:val="BodyText"/>
      </w:pPr>
      <w:r>
        <w:rPr>
          <w:b/>
          <w:bCs/>
        </w:rPr>
        <w:t xml:space="preserve">OECD AI Principles</w:t>
      </w:r>
      <w:r>
        <w:t xml:space="preserve"> </w:t>
      </w:r>
      <w:r>
        <w:t xml:space="preserve">- OECD Recommendation on AI: https://oecd.ai/en/ai-principles</w:t>
      </w:r>
      <w:r>
        <w:t xml:space="preserve"> </w:t>
      </w:r>
      <w:r>
        <w:t xml:space="preserve">- Responsible AI Policy Framework: https://oecd.ai/en/dashboards/policy-initiatives</w:t>
      </w:r>
    </w:p>
    <w:p>
      <w:pPr>
        <w:pStyle w:val="BodyText"/>
      </w:pPr>
      <w:r>
        <w:rPr>
          <w:b/>
          <w:bCs/>
        </w:rPr>
        <w:t xml:space="preserve">UNESCO AI Ethics</w:t>
      </w:r>
      <w:r>
        <w:t xml:space="preserve"> </w:t>
      </w:r>
      <w:r>
        <w:t xml:space="preserve">- Recommendation on Ethics of AI: https://unesdoc.unesco.org/ark:/48223/pf0000381137</w:t>
      </w:r>
    </w:p>
    <w:bookmarkEnd w:id="12"/>
    <w:bookmarkStart w:id="13" w:name="carbon-credit-environmental-regulations"/>
    <w:p>
      <w:pPr>
        <w:pStyle w:val="Heading3"/>
      </w:pPr>
      <w:r>
        <w:t xml:space="preserve">1.4 Carbon Credit &amp; Environmental Regulations</w:t>
      </w:r>
    </w:p>
    <w:p>
      <w:pPr>
        <w:pStyle w:val="FirstParagraph"/>
      </w:pPr>
      <w:r>
        <w:rPr>
          <w:b/>
          <w:bCs/>
        </w:rPr>
        <w:t xml:space="preserve">New Zealand Emissions Trading Scheme (NZ ETS)</w:t>
      </w:r>
      <w:r>
        <w:t xml:space="preserve"> </w:t>
      </w:r>
      <w:r>
        <w:t xml:space="preserve">- Climate Change Response Act 2002: https://www.legislation.govt.nz/act/public/2002/0040/latest/DLM158584.html</w:t>
      </w:r>
      <w:r>
        <w:t xml:space="preserve"> </w:t>
      </w:r>
      <w:r>
        <w:t xml:space="preserve">- EPA ETS Information: https://www.epa.govt.nz/industry-areas/emissions-trading-scheme/</w:t>
      </w:r>
      <w:r>
        <w:t xml:space="preserve"> </w:t>
      </w:r>
      <w:r>
        <w:t xml:space="preserve">- ETS Participant Guide: https://www.epa.govt.nz/assets/Uploads/Documents/Emissions-Trading-Scheme/Guidance/ETS-Participants-Guide.pdf</w:t>
      </w:r>
      <w:r>
        <w:t xml:space="preserve"> </w:t>
      </w:r>
      <w:r>
        <w:t xml:space="preserve">- Forestry ETS Guide: https://www.mpi.govt.nz/forestry/forestry-in-the-emissions-trading-scheme/</w:t>
      </w:r>
    </w:p>
    <w:p>
      <w:pPr>
        <w:pStyle w:val="BodyText"/>
      </w:pPr>
      <w:r>
        <w:rPr>
          <w:b/>
          <w:bCs/>
        </w:rPr>
        <w:t xml:space="preserve">Climate Change Response Act 2002</w:t>
      </w:r>
      <w:r>
        <w:t xml:space="preserve"> </w:t>
      </w:r>
      <w:r>
        <w:t xml:space="preserve">- Full Act: https://www.legislation.govt.nz/act/public/2002/0040/latest/whole.html</w:t>
      </w:r>
      <w:r>
        <w:t xml:space="preserve"> </w:t>
      </w:r>
      <w:r>
        <w:t xml:space="preserve">- Ministry for the Environment: https://environment.govt.nz/what-government-is-doing/areas-of-work/climate-change/</w:t>
      </w:r>
    </w:p>
    <w:p>
      <w:pPr>
        <w:pStyle w:val="BodyText"/>
      </w:pPr>
      <w:r>
        <w:rPr>
          <w:b/>
          <w:bCs/>
        </w:rPr>
        <w:t xml:space="preserve">Resource Management Act 1991</w:t>
      </w:r>
      <w:r>
        <w:t xml:space="preserve"> </w:t>
      </w:r>
      <w:r>
        <w:t xml:space="preserve">- Official Legislation: https://www.legislation.govt.nz/act/public/1991/0069/latest/DLM230265.html</w:t>
      </w:r>
      <w:r>
        <w:t xml:space="preserve"> </w:t>
      </w:r>
      <w:r>
        <w:t xml:space="preserve">- Ministry for the Environment Guidance: https://environment.govt.nz/acts-and-regulations/acts/resource-management-act/</w:t>
      </w:r>
    </w:p>
    <w:p>
      <w:pPr>
        <w:pStyle w:val="BodyText"/>
      </w:pPr>
      <w:r>
        <w:rPr>
          <w:b/>
          <w:bCs/>
        </w:rPr>
        <w:t xml:space="preserve">Forests Act 1949</w:t>
      </w:r>
      <w:r>
        <w:t xml:space="preserve"> </w:t>
      </w:r>
      <w:r>
        <w:t xml:space="preserve">- Official Text: https://www.legislation.govt.nz/act/public/1949/0019/latest/DLM255626.html</w:t>
      </w:r>
    </w:p>
    <w:bookmarkEnd w:id="13"/>
    <w:bookmarkStart w:id="14" w:name="Xe9aee71d7eed4ea4bf575b61a2009ad8f79eece"/>
    <w:p>
      <w:pPr>
        <w:pStyle w:val="Heading3"/>
      </w:pPr>
      <w:r>
        <w:t xml:space="preserve">1.5 International Carbon Standards (Reference Only)</w:t>
      </w:r>
    </w:p>
    <w:p>
      <w:pPr>
        <w:pStyle w:val="BlockText"/>
      </w:pPr>
      <w:r>
        <w:rPr>
          <w:b/>
          <w:bCs/>
        </w:rPr>
        <w:t xml:space="preserve">Note:</w:t>
      </w:r>
      <w:r>
        <w:t xml:space="preserve"> </w:t>
      </w:r>
      <w:r>
        <w:t xml:space="preserve">These international standards are included for reference and best practices only. The NZ ETS is the primary regulatory framework for this deployment.</w:t>
      </w:r>
    </w:p>
    <w:p>
      <w:pPr>
        <w:pStyle w:val="FirstParagraph"/>
      </w:pPr>
      <w:r>
        <w:rPr>
          <w:b/>
          <w:bCs/>
        </w:rPr>
        <w:t xml:space="preserve">Verified Carbon Standard (VCS)</w:t>
      </w:r>
      <w:r>
        <w:t xml:space="preserve"> </w:t>
      </w:r>
      <w:r>
        <w:t xml:space="preserve">-</w:t>
      </w:r>
      <w:r>
        <w:t xml:space="preserve"> </w:t>
      </w:r>
      <w:r>
        <w:rPr>
          <w:i/>
          <w:iCs/>
        </w:rPr>
        <w:t xml:space="preserve">Reference only</w:t>
      </w:r>
      <w:r>
        <w:t xml:space="preserve"> </w:t>
      </w:r>
      <w:r>
        <w:t xml:space="preserve">- Verra VCS Program: https://verra.org/programs/verified-carbon-standard/</w:t>
      </w:r>
      <w:r>
        <w:t xml:space="preserve"> </w:t>
      </w:r>
      <w:r>
        <w:t xml:space="preserve">- VCS Standard: https://verra.org/wp-content/uploads/2019/09/VCS_Standard_v4.0.pdf</w:t>
      </w:r>
    </w:p>
    <w:p>
      <w:pPr>
        <w:pStyle w:val="BodyText"/>
      </w:pPr>
      <w:r>
        <w:rPr>
          <w:b/>
          <w:bCs/>
        </w:rPr>
        <w:t xml:space="preserve">Gold Standard</w:t>
      </w:r>
      <w:r>
        <w:t xml:space="preserve"> </w:t>
      </w:r>
      <w:r>
        <w:t xml:space="preserve">-</w:t>
      </w:r>
      <w:r>
        <w:t xml:space="preserve"> </w:t>
      </w:r>
      <w:r>
        <w:rPr>
          <w:i/>
          <w:iCs/>
        </w:rPr>
        <w:t xml:space="preserve">Reference only</w:t>
      </w:r>
      <w:r>
        <w:t xml:space="preserve"> </w:t>
      </w:r>
      <w:r>
        <w:t xml:space="preserve">- Gold Standard for Global Goals: https://www.goldstandard.org/</w:t>
      </w:r>
      <w:r>
        <w:t xml:space="preserve"> </w:t>
      </w:r>
      <w:r>
        <w:t xml:space="preserve">- Standards Documents: https://www.goldstandard.org/articles/gold-standard-global-goals</w:t>
      </w:r>
    </w:p>
    <w:p>
      <w:pPr>
        <w:pStyle w:val="BodyText"/>
      </w:pPr>
      <w:r>
        <w:rPr>
          <w:b/>
          <w:bCs/>
        </w:rPr>
        <w:t xml:space="preserve">Climate Action Reserve</w:t>
      </w:r>
      <w:r>
        <w:t xml:space="preserve"> </w:t>
      </w:r>
      <w:r>
        <w:t xml:space="preserve">-</w:t>
      </w:r>
      <w:r>
        <w:t xml:space="preserve"> </w:t>
      </w:r>
      <w:r>
        <w:rPr>
          <w:i/>
          <w:iCs/>
        </w:rPr>
        <w:t xml:space="preserve">Reference only</w:t>
      </w:r>
      <w:r>
        <w:t xml:space="preserve"> </w:t>
      </w:r>
      <w:r>
        <w:t xml:space="preserve">- Official Website: https://www.climateactionreserve.org/</w:t>
      </w:r>
      <w:r>
        <w:t xml:space="preserve"> </w:t>
      </w:r>
      <w:r>
        <w:t xml:space="preserve">- Program Manual: https://www.climateactionreserve.org/how/program-manual/</w:t>
      </w:r>
    </w:p>
    <w:p>
      <w:pPr>
        <w:pStyle w:val="BodyText"/>
      </w:pPr>
      <w:r>
        <w:rPr>
          <w:b/>
          <w:bCs/>
        </w:rPr>
        <w:t xml:space="preserve">ISO 14064 (GHG Accounting)</w:t>
      </w:r>
      <w:r>
        <w:t xml:space="preserve"> </w:t>
      </w:r>
      <w:r>
        <w:t xml:space="preserve">- ISO 14064-1:2018: https://www.iso.org/standard/66453.html</w:t>
      </w:r>
      <w:r>
        <w:t xml:space="preserve"> </w:t>
      </w:r>
      <w:r>
        <w:t xml:space="preserve">- ISO Standards Overview: https://www.iso.org/iso-14001-environmental-management.html</w:t>
      </w:r>
    </w:p>
    <w:p>
      <w:pPr>
        <w:pStyle w:val="BodyText"/>
      </w:pPr>
      <w:r>
        <w:rPr>
          <w:b/>
          <w:bCs/>
        </w:rPr>
        <w:t xml:space="preserve">ISO 14065 (Verification Bodies)</w:t>
      </w:r>
      <w:r>
        <w:t xml:space="preserve"> </w:t>
      </w:r>
      <w:r>
        <w:t xml:space="preserve">- ISO 14065:2020: https://www.iso.org/standard/74257.html</w:t>
      </w:r>
    </w:p>
    <w:p>
      <w:r>
        <w:pict>
          <v:rect style="width:0;height:1.5pt" o:hralign="center" o:hrstd="t" o:hr="t"/>
        </w:pict>
      </w:r>
    </w:p>
    <w:bookmarkEnd w:id="14"/>
    <w:bookmarkEnd w:id="15"/>
    <w:bookmarkStart w:id="20" w:name="ai-machine-learning-technical-references"/>
    <w:p>
      <w:pPr>
        <w:pStyle w:val="Heading2"/>
      </w:pPr>
      <w:r>
        <w:t xml:space="preserve">2. AI &amp; Machine Learning Technical References</w:t>
      </w:r>
    </w:p>
    <w:bookmarkStart w:id="16" w:name="model-architecture-training"/>
    <w:p>
      <w:pPr>
        <w:pStyle w:val="Heading3"/>
      </w:pPr>
      <w:r>
        <w:t xml:space="preserve">2.1 Model Architecture &amp; Training</w:t>
      </w:r>
    </w:p>
    <w:p>
      <w:pPr>
        <w:pStyle w:val="FirstParagraph"/>
      </w:pPr>
      <w:r>
        <w:rPr>
          <w:b/>
          <w:bCs/>
        </w:rPr>
        <w:t xml:space="preserve">EfficientNet</w:t>
      </w:r>
      <w:r>
        <w:t xml:space="preserve"> </w:t>
      </w:r>
      <w:r>
        <w:t xml:space="preserve">- Original Paper: Tan, M., &amp; Le, Q. (2019).</w:t>
      </w:r>
      <w:r>
        <w:t xml:space="preserve"> </w:t>
      </w:r>
      <w:r>
        <w:t xml:space="preserve">“EfficientNet: Rethinking Model Scaling for Convolutional Neural Networks.”</w:t>
      </w:r>
      <w:r>
        <w:t xml:space="preserve"> </w:t>
      </w:r>
      <w:r>
        <w:t xml:space="preserve">ICML 2019.</w:t>
      </w:r>
      <w:r>
        <w:t xml:space="preserve"> </w:t>
      </w:r>
      <w:r>
        <w:t xml:space="preserve">- arXiv: https://arxiv.org/abs/1905.11946</w:t>
      </w:r>
      <w:r>
        <w:t xml:space="preserve"> </w:t>
      </w:r>
      <w:r>
        <w:t xml:space="preserve">- PyTorch Implementation: https://pytorch.org/vision/main/models/efficientnet.html</w:t>
      </w:r>
    </w:p>
    <w:p>
      <w:pPr>
        <w:pStyle w:val="BodyText"/>
      </w:pPr>
      <w:r>
        <w:rPr>
          <w:b/>
          <w:bCs/>
        </w:rPr>
        <w:t xml:space="preserve">PyTorch Deep Learning Framework</w:t>
      </w:r>
      <w:r>
        <w:t xml:space="preserve"> </w:t>
      </w:r>
      <w:r>
        <w:t xml:space="preserve">- Official Documentation: https://pytorch.org/docs/stable/index.html</w:t>
      </w:r>
      <w:r>
        <w:t xml:space="preserve"> </w:t>
      </w:r>
      <w:r>
        <w:t xml:space="preserve">- Tutorials: https://pytorch.org/tutorials/</w:t>
      </w:r>
    </w:p>
    <w:p>
      <w:pPr>
        <w:pStyle w:val="BodyText"/>
      </w:pPr>
      <w:r>
        <w:rPr>
          <w:b/>
          <w:bCs/>
        </w:rPr>
        <w:t xml:space="preserve">Transfer Learning</w:t>
      </w:r>
      <w:r>
        <w:t xml:space="preserve"> </w:t>
      </w:r>
      <w:r>
        <w:t xml:space="preserve">- Yosinski, J., et al. (2014).</w:t>
      </w:r>
      <w:r>
        <w:t xml:space="preserve"> </w:t>
      </w:r>
      <w:r>
        <w:t xml:space="preserve">“How transferable are features in deep neural networks?”</w:t>
      </w:r>
      <w:r>
        <w:t xml:space="preserve"> </w:t>
      </w:r>
      <w:r>
        <w:t xml:space="preserve">NeurIPS 2014.</w:t>
      </w:r>
      <w:r>
        <w:t xml:space="preserve"> </w:t>
      </w:r>
      <w:r>
        <w:t xml:space="preserve">- Survey: https://arxiv.org/abs/1808.01974</w:t>
      </w:r>
    </w:p>
    <w:p>
      <w:pPr>
        <w:pStyle w:val="BodyText"/>
      </w:pPr>
      <w:r>
        <w:rPr>
          <w:b/>
          <w:bCs/>
        </w:rPr>
        <w:t xml:space="preserve">Data Augmentation</w:t>
      </w:r>
      <w:r>
        <w:t xml:space="preserve"> </w:t>
      </w:r>
      <w:r>
        <w:t xml:space="preserve">- Shorten, C., &amp; Khoshgoftaar, T. M. (2019).</w:t>
      </w:r>
      <w:r>
        <w:t xml:space="preserve"> </w:t>
      </w:r>
      <w:r>
        <w:t xml:space="preserve">“A survey on Image Data Augmentation for Deep Learning.”</w:t>
      </w:r>
      <w:r>
        <w:t xml:space="preserve"> </w:t>
      </w:r>
      <w:r>
        <w:t xml:space="preserve">Journal of Big Data, 6(1), 60.</w:t>
      </w:r>
      <w:r>
        <w:t xml:space="preserve"> </w:t>
      </w:r>
      <w:r>
        <w:t xml:space="preserve">- Albumentations Library: https://albumentations.ai/</w:t>
      </w:r>
    </w:p>
    <w:bookmarkEnd w:id="16"/>
    <w:bookmarkStart w:id="17" w:name="model-evaluation-validation"/>
    <w:p>
      <w:pPr>
        <w:pStyle w:val="Heading3"/>
      </w:pPr>
      <w:r>
        <w:t xml:space="preserve">2.2 Model Evaluation &amp; Validation</w:t>
      </w:r>
    </w:p>
    <w:p>
      <w:pPr>
        <w:pStyle w:val="FirstParagraph"/>
      </w:pPr>
      <w:r>
        <w:rPr>
          <w:b/>
          <w:bCs/>
        </w:rPr>
        <w:t xml:space="preserve">Classification Metrics</w:t>
      </w:r>
      <w:r>
        <w:t xml:space="preserve"> </w:t>
      </w:r>
      <w:r>
        <w:t xml:space="preserve">- Scikit-learn Metrics: https://scikit-learn.org/stable/modules/model_evaluation.html</w:t>
      </w:r>
      <w:r>
        <w:t xml:space="preserve"> </w:t>
      </w:r>
      <w:r>
        <w:t xml:space="preserve">- Confusion Matrix Guide: https://scikit-learn.org/stable/modules/generated/sklearn.metrics.confusion_matrix.html</w:t>
      </w:r>
    </w:p>
    <w:p>
      <w:pPr>
        <w:pStyle w:val="BodyText"/>
      </w:pPr>
      <w:r>
        <w:rPr>
          <w:b/>
          <w:bCs/>
        </w:rPr>
        <w:t xml:space="preserve">ROC-AUC Analysis</w:t>
      </w:r>
      <w:r>
        <w:t xml:space="preserve"> </w:t>
      </w:r>
      <w:r>
        <w:t xml:space="preserve">- Fawcett, T. (2006).</w:t>
      </w:r>
      <w:r>
        <w:t xml:space="preserve"> </w:t>
      </w:r>
      <w:r>
        <w:t xml:space="preserve">“An introduction to ROC analysis.”</w:t>
      </w:r>
      <w:r>
        <w:t xml:space="preserve"> </w:t>
      </w:r>
      <w:r>
        <w:t xml:space="preserve">Pattern Recognition Letters, 27(8), 861-874.</w:t>
      </w:r>
      <w:r>
        <w:t xml:space="preserve"> </w:t>
      </w:r>
      <w:r>
        <w:t xml:space="preserve">- Scikit-learn ROC: https://scikit-learn.org/stable/modules/generated/sklearn.metrics.roc_auc_score.html</w:t>
      </w:r>
    </w:p>
    <w:p>
      <w:pPr>
        <w:pStyle w:val="BodyText"/>
      </w:pPr>
      <w:r>
        <w:rPr>
          <w:b/>
          <w:bCs/>
        </w:rPr>
        <w:t xml:space="preserve">Confidence Calibration</w:t>
      </w:r>
      <w:r>
        <w:t xml:space="preserve"> </w:t>
      </w:r>
      <w:r>
        <w:t xml:space="preserve">- Guo, C., et al. (2017).</w:t>
      </w:r>
      <w:r>
        <w:t xml:space="preserve"> </w:t>
      </w:r>
      <w:r>
        <w:t xml:space="preserve">“On Calibration of Modern Neural Networks.”</w:t>
      </w:r>
      <w:r>
        <w:t xml:space="preserve"> </w:t>
      </w:r>
      <w:r>
        <w:t xml:space="preserve">ICML 2017.</w:t>
      </w:r>
      <w:r>
        <w:t xml:space="preserve"> </w:t>
      </w:r>
      <w:r>
        <w:t xml:space="preserve">- arXiv: https://arxiv.org/abs/1706.04599</w:t>
      </w:r>
    </w:p>
    <w:p>
      <w:pPr>
        <w:pStyle w:val="BodyText"/>
      </w:pPr>
      <w:r>
        <w:rPr>
          <w:b/>
          <w:bCs/>
        </w:rPr>
        <w:t xml:space="preserve">Temperature Scaling</w:t>
      </w:r>
      <w:r>
        <w:t xml:space="preserve"> </w:t>
      </w:r>
      <w:r>
        <w:t xml:space="preserve">- Platt Scaling &amp; Calibration Methods: https://scikit-learn.org/stable/modules/calibration.html</w:t>
      </w:r>
    </w:p>
    <w:bookmarkEnd w:id="17"/>
    <w:bookmarkStart w:id="18" w:name="ai-bias-fairness"/>
    <w:p>
      <w:pPr>
        <w:pStyle w:val="Heading3"/>
      </w:pPr>
      <w:r>
        <w:t xml:space="preserve">2.3 AI Bias &amp; Fairness</w:t>
      </w:r>
    </w:p>
    <w:p>
      <w:pPr>
        <w:pStyle w:val="FirstParagraph"/>
      </w:pPr>
      <w:r>
        <w:rPr>
          <w:b/>
          <w:bCs/>
        </w:rPr>
        <w:t xml:space="preserve">Fairness Definitions</w:t>
      </w:r>
      <w:r>
        <w:t xml:space="preserve"> </w:t>
      </w:r>
      <w:r>
        <w:t xml:space="preserve">- Verma, S., &amp; Rubin, J. (2018).</w:t>
      </w:r>
      <w:r>
        <w:t xml:space="preserve"> </w:t>
      </w:r>
      <w:r>
        <w:t xml:space="preserve">“Fairness definitions explained.”</w:t>
      </w:r>
      <w:r>
        <w:t xml:space="preserve"> </w:t>
      </w:r>
      <w:r>
        <w:t xml:space="preserve">IEEE/ACM International Workshop on Software Fairness.</w:t>
      </w:r>
      <w:r>
        <w:t xml:space="preserve"> </w:t>
      </w:r>
      <w:r>
        <w:t xml:space="preserve">- Google ML Fairness: https://developers.google.com/machine-learning/fairness-overview</w:t>
      </w:r>
    </w:p>
    <w:p>
      <w:pPr>
        <w:pStyle w:val="BodyText"/>
      </w:pPr>
      <w:r>
        <w:rPr>
          <w:b/>
          <w:bCs/>
        </w:rPr>
        <w:t xml:space="preserve">Bias Detection &amp; Mitigation</w:t>
      </w:r>
      <w:r>
        <w:t xml:space="preserve"> </w:t>
      </w:r>
      <w:r>
        <w:t xml:space="preserve">- IBM AI Fairness 360: https://aif360.mybluemix.net/</w:t>
      </w:r>
      <w:r>
        <w:t xml:space="preserve"> </w:t>
      </w:r>
      <w:r>
        <w:t xml:space="preserve">- Microsoft Fairlearn: https://fairlearn.org/</w:t>
      </w:r>
    </w:p>
    <w:p>
      <w:pPr>
        <w:pStyle w:val="BodyText"/>
      </w:pPr>
      <w:r>
        <w:rPr>
          <w:b/>
          <w:bCs/>
        </w:rPr>
        <w:t xml:space="preserve">Algorithmic Justice</w:t>
      </w:r>
      <w:r>
        <w:t xml:space="preserve"> </w:t>
      </w:r>
      <w:r>
        <w:t xml:space="preserve">- Barocas, S., Hardt, M., &amp; Narayanan, A. (2019).</w:t>
      </w:r>
      <w:r>
        <w:t xml:space="preserve"> </w:t>
      </w:r>
      <w:r>
        <w:t xml:space="preserve">“Fairness and Machine Learning.”</w:t>
      </w:r>
      <w:r>
        <w:t xml:space="preserve"> </w:t>
      </w:r>
      <w:r>
        <w:t xml:space="preserve">fairmlbook.org</w:t>
      </w:r>
    </w:p>
    <w:bookmarkEnd w:id="18"/>
    <w:bookmarkStart w:id="19" w:name="explainable-ai-xai"/>
    <w:p>
      <w:pPr>
        <w:pStyle w:val="Heading3"/>
      </w:pPr>
      <w:r>
        <w:t xml:space="preserve">2.4 Explainable AI (XAI)</w:t>
      </w:r>
    </w:p>
    <w:p>
      <w:pPr>
        <w:pStyle w:val="FirstParagraph"/>
      </w:pPr>
      <w:r>
        <w:rPr>
          <w:b/>
          <w:bCs/>
        </w:rPr>
        <w:t xml:space="preserve">Interpretability Methods</w:t>
      </w:r>
      <w:r>
        <w:t xml:space="preserve"> </w:t>
      </w:r>
      <w:r>
        <w:t xml:space="preserve">- Molnar, C. (2022).</w:t>
      </w:r>
      <w:r>
        <w:t xml:space="preserve"> </w:t>
      </w:r>
      <w:r>
        <w:t xml:space="preserve">“Interpretable Machine Learning.”</w:t>
      </w:r>
      <w:r>
        <w:t xml:space="preserve"> </w:t>
      </w:r>
      <w:r>
        <w:t xml:space="preserve">https://christophm.github.io/interpretable-ml-book/</w:t>
      </w:r>
    </w:p>
    <w:p>
      <w:pPr>
        <w:pStyle w:val="BodyText"/>
      </w:pPr>
      <w:r>
        <w:rPr>
          <w:b/>
          <w:bCs/>
        </w:rPr>
        <w:t xml:space="preserve">LIME (Local Interpretable Model-agnostic Explanations)</w:t>
      </w:r>
      <w:r>
        <w:t xml:space="preserve"> </w:t>
      </w:r>
      <w:r>
        <w:t xml:space="preserve">- Ribeiro, M. T., et al. (2016).</w:t>
      </w:r>
      <w:r>
        <w:t xml:space="preserve"> </w:t>
      </w:r>
      <w:r>
        <w:t xml:space="preserve">“</w:t>
      </w:r>
      <w:r>
        <w:t xml:space="preserve">‘Why Should I Trust You?’</w:t>
      </w:r>
      <w:r>
        <w:t xml:space="preserve">: Explaining the Predictions of Any Classifier.”</w:t>
      </w:r>
      <w:r>
        <w:t xml:space="preserve"> </w:t>
      </w:r>
      <w:r>
        <w:t xml:space="preserve">KDD 2016.</w:t>
      </w:r>
      <w:r>
        <w:t xml:space="preserve"> </w:t>
      </w:r>
      <w:r>
        <w:t xml:space="preserve">- GitHub: https://github.com/marcotcr/lime</w:t>
      </w:r>
    </w:p>
    <w:p>
      <w:pPr>
        <w:pStyle w:val="BodyText"/>
      </w:pPr>
      <w:r>
        <w:rPr>
          <w:b/>
          <w:bCs/>
        </w:rPr>
        <w:t xml:space="preserve">SHAP (SHapley Additive exPlanations)</w:t>
      </w:r>
      <w:r>
        <w:t xml:space="preserve"> </w:t>
      </w:r>
      <w:r>
        <w:t xml:space="preserve">- Lundberg, S. M., &amp; Lee, S. I. (2017).</w:t>
      </w:r>
      <w:r>
        <w:t xml:space="preserve"> </w:t>
      </w:r>
      <w:r>
        <w:t xml:space="preserve">“A Unified Approach to Interpreting Model Predictions.”</w:t>
      </w:r>
      <w:r>
        <w:t xml:space="preserve"> </w:t>
      </w:r>
      <w:r>
        <w:t xml:space="preserve">NeurIPS 2017.</w:t>
      </w:r>
      <w:r>
        <w:t xml:space="preserve"> </w:t>
      </w:r>
      <w:r>
        <w:t xml:space="preserve">- Documentation: https://shap.readthedocs.io/</w:t>
      </w:r>
    </w:p>
    <w:p>
      <w:pPr>
        <w:pStyle w:val="BodyText"/>
      </w:pPr>
      <w:r>
        <w:rPr>
          <w:b/>
          <w:bCs/>
        </w:rPr>
        <w:t xml:space="preserve">Grad-CAM</w:t>
      </w:r>
      <w:r>
        <w:t xml:space="preserve"> </w:t>
      </w:r>
      <w:r>
        <w:t xml:space="preserve">- Selvaraju, R. R., et al. (2017).</w:t>
      </w:r>
      <w:r>
        <w:t xml:space="preserve"> </w:t>
      </w:r>
      <w:r>
        <w:t xml:space="preserve">“Grad-CAM: Visual Explanations from Deep Networks via Gradient-based Localization.”</w:t>
      </w:r>
      <w:r>
        <w:t xml:space="preserve"> </w:t>
      </w:r>
      <w:r>
        <w:t xml:space="preserve">ICCV 2017.</w:t>
      </w:r>
    </w:p>
    <w:p>
      <w:r>
        <w:pict>
          <v:rect style="width:0;height:1.5pt" o:hralign="center" o:hrstd="t" o:hr="t"/>
        </w:pict>
      </w:r>
    </w:p>
    <w:bookmarkEnd w:id="19"/>
    <w:bookmarkEnd w:id="20"/>
    <w:bookmarkStart w:id="23" w:name="information-security-cybersecurity"/>
    <w:p>
      <w:pPr>
        <w:pStyle w:val="Heading2"/>
      </w:pPr>
      <w:r>
        <w:t xml:space="preserve">3. Information Security &amp; Cybersecurity</w:t>
      </w:r>
    </w:p>
    <w:bookmarkStart w:id="21" w:name="security-standards"/>
    <w:p>
      <w:pPr>
        <w:pStyle w:val="Heading3"/>
      </w:pPr>
      <w:r>
        <w:t xml:space="preserve">3.1 Security Standards</w:t>
      </w:r>
    </w:p>
    <w:p>
      <w:pPr>
        <w:pStyle w:val="FirstParagraph"/>
      </w:pPr>
      <w:r>
        <w:rPr>
          <w:b/>
          <w:bCs/>
        </w:rPr>
        <w:t xml:space="preserve">ISO 27001 (Information Security Management)</w:t>
      </w:r>
      <w:r>
        <w:t xml:space="preserve"> </w:t>
      </w:r>
      <w:r>
        <w:t xml:space="preserve">- ISO 27001:2022: https://www.iso.org/standard/27001</w:t>
      </w:r>
      <w:r>
        <w:t xml:space="preserve"> </w:t>
      </w:r>
      <w:r>
        <w:t xml:space="preserve">- Implementation Guide: https://www.iso.org/isoiec-27001-information-security.html</w:t>
      </w:r>
    </w:p>
    <w:p>
      <w:pPr>
        <w:pStyle w:val="BodyText"/>
      </w:pPr>
      <w:r>
        <w:rPr>
          <w:b/>
          <w:bCs/>
        </w:rPr>
        <w:t xml:space="preserve">SOC 2 (Service Organization Controls)</w:t>
      </w:r>
      <w:r>
        <w:t xml:space="preserve"> </w:t>
      </w:r>
      <w:r>
        <w:t xml:space="preserve">- AICPA SOC 2: https://www.aicpa.org/interestareas/frc/assuranceadvisoryservices/aicpasoc2report</w:t>
      </w:r>
      <w:r>
        <w:t xml:space="preserve"> </w:t>
      </w:r>
      <w:r>
        <w:t xml:space="preserve">- SOC 2 Compliance Guide: https://www.aicpa.org/resources/download/soc-2-compliance-simplified</w:t>
      </w:r>
    </w:p>
    <w:p>
      <w:pPr>
        <w:pStyle w:val="BodyText"/>
      </w:pPr>
      <w:r>
        <w:rPr>
          <w:b/>
          <w:bCs/>
        </w:rPr>
        <w:t xml:space="preserve">NIST Cybersecurity Framework</w:t>
      </w:r>
      <w:r>
        <w:t xml:space="preserve"> </w:t>
      </w:r>
      <w:r>
        <w:t xml:space="preserve">- Framework Overview: https://www.nist.gov/cyberframework</w:t>
      </w:r>
      <w:r>
        <w:t xml:space="preserve"> </w:t>
      </w:r>
      <w:r>
        <w:t xml:space="preserve">- Core Functions: https://nvlpubs.nist.gov/nistpubs/CSWP/NIST.CSWP.04162018.pdf</w:t>
      </w:r>
    </w:p>
    <w:p>
      <w:pPr>
        <w:pStyle w:val="BodyText"/>
      </w:pPr>
      <w:r>
        <w:rPr>
          <w:b/>
          <w:bCs/>
        </w:rPr>
        <w:t xml:space="preserve">Essential 8 (Australian/NZ Context)</w:t>
      </w:r>
      <w:r>
        <w:t xml:space="preserve"> </w:t>
      </w:r>
      <w:r>
        <w:t xml:space="preserve">- ACSC Essential Eight: https://www.cyber.gov.au/resources-business-and-government/essential-cyber-security/essential-eight</w:t>
      </w:r>
      <w:r>
        <w:t xml:space="preserve"> </w:t>
      </w:r>
      <w:r>
        <w:t xml:space="preserve">- Implementation Guide: https://www.cyber.gov.au/resources-business-and-government/essential-cyber-security/essential-eight/essential-eight-maturity-model</w:t>
      </w:r>
    </w:p>
    <w:p>
      <w:pPr>
        <w:pStyle w:val="BodyText"/>
      </w:pPr>
      <w:r>
        <w:rPr>
          <w:b/>
          <w:bCs/>
        </w:rPr>
        <w:t xml:space="preserve">CERT NZ (Computer Emergency Response Team)</w:t>
      </w:r>
      <w:r>
        <w:t xml:space="preserve"> </w:t>
      </w:r>
      <w:r>
        <w:t xml:space="preserve">- Official Site: https://www.cert.govt.nz/</w:t>
      </w:r>
      <w:r>
        <w:t xml:space="preserve"> </w:t>
      </w:r>
      <w:r>
        <w:t xml:space="preserve">- Incident Reporting: https://www.cert.govt.nz/individuals/report-an-incident/</w:t>
      </w:r>
    </w:p>
    <w:bookmarkEnd w:id="21"/>
    <w:bookmarkStart w:id="22" w:name="data-protection-encryption"/>
    <w:p>
      <w:pPr>
        <w:pStyle w:val="Heading3"/>
      </w:pPr>
      <w:r>
        <w:t xml:space="preserve">3.2 Data Protection &amp; Encryption</w:t>
      </w:r>
    </w:p>
    <w:p>
      <w:pPr>
        <w:pStyle w:val="FirstParagraph"/>
      </w:pPr>
      <w:r>
        <w:rPr>
          <w:b/>
          <w:bCs/>
        </w:rPr>
        <w:t xml:space="preserve">NIST Encryption Standards</w:t>
      </w:r>
      <w:r>
        <w:t xml:space="preserve"> </w:t>
      </w:r>
      <w:r>
        <w:t xml:space="preserve">- AES-256: https://csrc.nist.gov/publications/detail/fips/197/final</w:t>
      </w:r>
      <w:r>
        <w:t xml:space="preserve"> </w:t>
      </w:r>
      <w:r>
        <w:t xml:space="preserve">- Cryptographic Standards: https://csrc.nist.gov/projects/cryptographic-standards-and-guidelines</w:t>
      </w:r>
    </w:p>
    <w:p>
      <w:pPr>
        <w:pStyle w:val="BodyText"/>
      </w:pPr>
      <w:r>
        <w:rPr>
          <w:b/>
          <w:bCs/>
        </w:rPr>
        <w:t xml:space="preserve">TLS Best Practices</w:t>
      </w:r>
      <w:r>
        <w:t xml:space="preserve"> </w:t>
      </w:r>
      <w:r>
        <w:t xml:space="preserve">- OWASP TLS Cheat Sheet: https://cheatsheetseries.owasp.org/cheatsheets/Transport_Layer_Protection_Cheat_Sheet.html</w:t>
      </w:r>
      <w:r>
        <w:t xml:space="preserve"> </w:t>
      </w:r>
      <w:r>
        <w:t xml:space="preserve">- Mozilla SSL Configuration: https://wiki.mozilla.org/Security/Server_Side_TLS</w:t>
      </w:r>
    </w:p>
    <w:p>
      <w:r>
        <w:pict>
          <v:rect style="width:0;height:1.5pt" o:hralign="center" o:hrstd="t" o:hr="t"/>
        </w:pict>
      </w:r>
    </w:p>
    <w:bookmarkEnd w:id="22"/>
    <w:bookmarkEnd w:id="23"/>
    <w:bookmarkStart w:id="27" w:name="risk-management-governance"/>
    <w:p>
      <w:pPr>
        <w:pStyle w:val="Heading2"/>
      </w:pPr>
      <w:r>
        <w:t xml:space="preserve">4. Risk Management &amp; Governance</w:t>
      </w:r>
    </w:p>
    <w:bookmarkStart w:id="24" w:name="risk-management-frameworks"/>
    <w:p>
      <w:pPr>
        <w:pStyle w:val="Heading3"/>
      </w:pPr>
      <w:r>
        <w:t xml:space="preserve">4.1 Risk Management Frameworks</w:t>
      </w:r>
    </w:p>
    <w:p>
      <w:pPr>
        <w:pStyle w:val="FirstParagraph"/>
      </w:pPr>
      <w:r>
        <w:rPr>
          <w:b/>
          <w:bCs/>
        </w:rPr>
        <w:t xml:space="preserve">ISO 31000 (Risk Management)</w:t>
      </w:r>
      <w:r>
        <w:t xml:space="preserve"> </w:t>
      </w:r>
      <w:r>
        <w:t xml:space="preserve">- ISO 31000:2018: https://www.iso.org/iso-31000-risk-management.html</w:t>
      </w:r>
      <w:r>
        <w:t xml:space="preserve"> </w:t>
      </w:r>
      <w:r>
        <w:t xml:space="preserve">- Risk Management Principles: https://www.iso.org/standard/65694.html</w:t>
      </w:r>
    </w:p>
    <w:p>
      <w:pPr>
        <w:pStyle w:val="BodyText"/>
      </w:pPr>
      <w:r>
        <w:rPr>
          <w:b/>
          <w:bCs/>
        </w:rPr>
        <w:t xml:space="preserve">COSO ERM Framework</w:t>
      </w:r>
      <w:r>
        <w:t xml:space="preserve"> </w:t>
      </w:r>
      <w:r>
        <w:t xml:space="preserve">- COSO Enterprise Risk Management: https://www.coso.org/Pages/erm.aspx</w:t>
      </w:r>
    </w:p>
    <w:p>
      <w:pPr>
        <w:pStyle w:val="BodyText"/>
      </w:pPr>
      <w:r>
        <w:rPr>
          <w:b/>
          <w:bCs/>
        </w:rPr>
        <w:t xml:space="preserve">NIST Risk Management Framework</w:t>
      </w:r>
      <w:r>
        <w:t xml:space="preserve"> </w:t>
      </w:r>
      <w:r>
        <w:t xml:space="preserve">- RMF Overview: https://csrc.nist.gov/projects/risk-management/about-rmf</w:t>
      </w:r>
    </w:p>
    <w:bookmarkEnd w:id="24"/>
    <w:bookmarkStart w:id="25" w:name="ai-governance"/>
    <w:p>
      <w:pPr>
        <w:pStyle w:val="Heading3"/>
      </w:pPr>
      <w:r>
        <w:t xml:space="preserve">4.2 AI Governance</w:t>
      </w:r>
    </w:p>
    <w:p>
      <w:pPr>
        <w:pStyle w:val="FirstParagraph"/>
      </w:pPr>
      <w:r>
        <w:rPr>
          <w:b/>
          <w:bCs/>
        </w:rPr>
        <w:t xml:space="preserve">AI Governance Frameworks</w:t>
      </w:r>
      <w:r>
        <w:t xml:space="preserve"> </w:t>
      </w:r>
      <w:r>
        <w:t xml:space="preserve">- World Economic Forum AI Governance: https://www.weforum.org/projects/ai-governance-alliance/</w:t>
      </w:r>
      <w:r>
        <w:t xml:space="preserve"> </w:t>
      </w:r>
      <w:r>
        <w:t xml:space="preserve">- IEEE Ethically Aligned Design: https://standards.ieee.org/industry-connections/ec/ead-v1/</w:t>
      </w:r>
    </w:p>
    <w:p>
      <w:pPr>
        <w:pStyle w:val="BodyText"/>
      </w:pPr>
      <w:r>
        <w:rPr>
          <w:b/>
          <w:bCs/>
        </w:rPr>
        <w:t xml:space="preserve">Model Risk Management</w:t>
      </w:r>
      <w:r>
        <w:t xml:space="preserve"> </w:t>
      </w:r>
      <w:r>
        <w:t xml:space="preserve">- Federal Reserve SR 11-7: https://www.federalreserve.gov/supervisionreg/srletters/sr1107.htm</w:t>
      </w:r>
      <w:r>
        <w:t xml:space="preserve"> </w:t>
      </w:r>
      <w:r>
        <w:t xml:space="preserve">- Bank of England Model Risk Management: https://www.bankofengland.co.uk/prudential-regulation/publication/2016/model-risk-management-principles-for-stress-testing</w:t>
      </w:r>
    </w:p>
    <w:bookmarkEnd w:id="25"/>
    <w:bookmarkStart w:id="26" w:name="corporate-governance"/>
    <w:p>
      <w:pPr>
        <w:pStyle w:val="Heading3"/>
      </w:pPr>
      <w:r>
        <w:t xml:space="preserve">4.3 Corporate Governance</w:t>
      </w:r>
    </w:p>
    <w:p>
      <w:pPr>
        <w:pStyle w:val="FirstParagraph"/>
      </w:pPr>
      <w:r>
        <w:rPr>
          <w:b/>
          <w:bCs/>
        </w:rPr>
        <w:t xml:space="preserve">OECD Principles of Corporate Governance</w:t>
      </w:r>
      <w:r>
        <w:t xml:space="preserve"> </w:t>
      </w:r>
      <w:r>
        <w:t xml:space="preserve">- OECD Guidelines: https://www.oecd.org/corporate/principles-corporate-governance/</w:t>
      </w:r>
    </w:p>
    <w:p>
      <w:pPr>
        <w:pStyle w:val="BodyText"/>
      </w:pPr>
      <w:r>
        <w:rPr>
          <w:b/>
          <w:bCs/>
        </w:rPr>
        <w:t xml:space="preserve">ESG (Environmental, Social, Governance)</w:t>
      </w:r>
      <w:r>
        <w:t xml:space="preserve"> </w:t>
      </w:r>
      <w:r>
        <w:t xml:space="preserve">- SASB Standards: https://www.sasb.org/</w:t>
      </w:r>
      <w:r>
        <w:t xml:space="preserve"> </w:t>
      </w:r>
      <w:r>
        <w:t xml:space="preserve">- GRI Standards: https://www.globalreporting.org/standards/</w:t>
      </w:r>
    </w:p>
    <w:p>
      <w:r>
        <w:pict>
          <v:rect style="width:0;height:1.5pt" o:hralign="center" o:hrstd="t" o:hr="t"/>
        </w:pict>
      </w:r>
    </w:p>
    <w:bookmarkEnd w:id="26"/>
    <w:bookmarkEnd w:id="27"/>
    <w:bookmarkStart w:id="29" w:name="insurance-liability"/>
    <w:p>
      <w:pPr>
        <w:pStyle w:val="Heading2"/>
      </w:pPr>
      <w:r>
        <w:t xml:space="preserve">5. Insurance &amp; Liability</w:t>
      </w:r>
    </w:p>
    <w:bookmarkStart w:id="28" w:name="professional-indemnity-liability"/>
    <w:p>
      <w:pPr>
        <w:pStyle w:val="Heading3"/>
      </w:pPr>
      <w:r>
        <w:t xml:space="preserve">5.1 Professional Indemnity &amp; Liability</w:t>
      </w:r>
    </w:p>
    <w:p>
      <w:pPr>
        <w:pStyle w:val="FirstParagraph"/>
      </w:pPr>
      <w:r>
        <w:rPr>
          <w:b/>
          <w:bCs/>
        </w:rPr>
        <w:t xml:space="preserve">Professional Indemnity Insurance Guide</w:t>
      </w:r>
      <w:r>
        <w:t xml:space="preserve"> </w:t>
      </w:r>
      <w:r>
        <w:t xml:space="preserve">- Insurance Council of New Zealand: https://www.icnz.org.nz/</w:t>
      </w:r>
    </w:p>
    <w:p>
      <w:pPr>
        <w:pStyle w:val="BodyText"/>
      </w:pPr>
      <w:r>
        <w:rPr>
          <w:b/>
          <w:bCs/>
        </w:rPr>
        <w:t xml:space="preserve">Cyber Insurance</w:t>
      </w:r>
      <w:r>
        <w:t xml:space="preserve"> </w:t>
      </w:r>
      <w:r>
        <w:t xml:space="preserve">- NIST Guide to Cyber Insurance: https://www.nist.gov/news-events/news/2019/04/nist-releases-guide-cyber-insurance</w:t>
      </w:r>
      <w:r>
        <w:t xml:space="preserve"> </w:t>
      </w:r>
      <w:r>
        <w:t xml:space="preserve">- Ponemon Institute Cyber Insurance Studies: https://www.ponemon.org/</w:t>
      </w:r>
    </w:p>
    <w:p>
      <w:pPr>
        <w:pStyle w:val="BodyText"/>
      </w:pPr>
      <w:r>
        <w:rPr>
          <w:b/>
          <w:bCs/>
        </w:rPr>
        <w:t xml:space="preserve">AI Liability Frameworks</w:t>
      </w:r>
      <w:r>
        <w:t xml:space="preserve"> </w:t>
      </w:r>
      <w:r>
        <w:t xml:space="preserve">- EU Product Liability Directive: https://eur-lex.europa.eu/legal-content/EN/TXT/?uri=CELEX:31985L0374</w:t>
      </w:r>
      <w:r>
        <w:t xml:space="preserve"> </w:t>
      </w:r>
      <w:r>
        <w:t xml:space="preserve">- AI Liability White Paper: https://ec.europa.eu/info/sites/default/files/report_from_the_expert_group_on_liability_and_new_technologies.pdf</w:t>
      </w:r>
    </w:p>
    <w:p>
      <w:r>
        <w:pict>
          <v:rect style="width:0;height:1.5pt" o:hralign="center" o:hrstd="t" o:hr="t"/>
        </w:pict>
      </w:r>
    </w:p>
    <w:bookmarkEnd w:id="28"/>
    <w:bookmarkEnd w:id="29"/>
    <w:bookmarkStart w:id="32" w:name="industry-standards-best-practices"/>
    <w:p>
      <w:pPr>
        <w:pStyle w:val="Heading2"/>
      </w:pPr>
      <w:r>
        <w:t xml:space="preserve">6. Industry Standards &amp; Best Practices</w:t>
      </w:r>
    </w:p>
    <w:bookmarkStart w:id="30" w:name="ai-standards"/>
    <w:p>
      <w:pPr>
        <w:pStyle w:val="Heading3"/>
      </w:pPr>
      <w:r>
        <w:t xml:space="preserve">6.1 AI Standards</w:t>
      </w:r>
    </w:p>
    <w:p>
      <w:pPr>
        <w:pStyle w:val="FirstParagraph"/>
      </w:pPr>
      <w:r>
        <w:rPr>
          <w:b/>
          <w:bCs/>
        </w:rPr>
        <w:t xml:space="preserve">ISO/IEC 42001 (AI Management System)</w:t>
      </w:r>
      <w:r>
        <w:t xml:space="preserve"> </w:t>
      </w:r>
      <w:r>
        <w:t xml:space="preserve">- ISO 42001:2023: https://www.iso.org/standard/81230.html</w:t>
      </w:r>
      <w:r>
        <w:t xml:space="preserve"> </w:t>
      </w:r>
      <w:r>
        <w:t xml:space="preserve">- Implementation Guide: https://www.iso.org/committee/6794475/x/catalogue/</w:t>
      </w:r>
    </w:p>
    <w:p>
      <w:pPr>
        <w:pStyle w:val="BodyText"/>
      </w:pPr>
      <w:r>
        <w:rPr>
          <w:b/>
          <w:bCs/>
        </w:rPr>
        <w:t xml:space="preserve">IEEE Standards for AI</w:t>
      </w:r>
      <w:r>
        <w:t xml:space="preserve"> </w:t>
      </w:r>
      <w:r>
        <w:t xml:space="preserve">- IEEE 7000 Series: https://standards.ieee.org/</w:t>
      </w:r>
      <w:r>
        <w:t xml:space="preserve"> </w:t>
      </w:r>
      <w:r>
        <w:t xml:space="preserve">- IEEE P7001 (Transparency): https://standards.ieee.org/project/7001.html</w:t>
      </w:r>
    </w:p>
    <w:p>
      <w:pPr>
        <w:pStyle w:val="BodyText"/>
      </w:pPr>
      <w:r>
        <w:rPr>
          <w:b/>
          <w:bCs/>
        </w:rPr>
        <w:t xml:space="preserve">NIST AI Risk Management Framework</w:t>
      </w:r>
      <w:r>
        <w:t xml:space="preserve"> </w:t>
      </w:r>
      <w:r>
        <w:t xml:space="preserve">- AI RMF: https://www.nist.gov/itl/ai-risk-management-framework</w:t>
      </w:r>
      <w:r>
        <w:t xml:space="preserve"> </w:t>
      </w:r>
      <w:r>
        <w:t xml:space="preserve">- Trustworthy AI: https://nvlpubs.nist.gov/nistpubs/ai/NIST.AI.100-1.pdf</w:t>
      </w:r>
    </w:p>
    <w:bookmarkEnd w:id="30"/>
    <w:bookmarkStart w:id="31" w:name="software-engineering-best-practices"/>
    <w:p>
      <w:pPr>
        <w:pStyle w:val="Heading3"/>
      </w:pPr>
      <w:r>
        <w:t xml:space="preserve">6.2 Software Engineering Best Practices</w:t>
      </w:r>
    </w:p>
    <w:p>
      <w:pPr>
        <w:pStyle w:val="FirstParagraph"/>
      </w:pPr>
      <w:r>
        <w:rPr>
          <w:b/>
          <w:bCs/>
        </w:rPr>
        <w:t xml:space="preserve">MLOps Best Practices</w:t>
      </w:r>
      <w:r>
        <w:t xml:space="preserve"> </w:t>
      </w:r>
      <w:r>
        <w:t xml:space="preserve">- Google MLOps: https://cloud.google.com/architecture/mlops-continuous-delivery-and-automation-pipelines-in-machine-learning</w:t>
      </w:r>
      <w:r>
        <w:t xml:space="preserve"> </w:t>
      </w:r>
      <w:r>
        <w:t xml:space="preserve">- Microsoft MLOps Maturity: https://learn.microsoft.com/en-us/azure/architecture/example-scenario/mlops/mlops-maturity-model</w:t>
      </w:r>
    </w:p>
    <w:p>
      <w:pPr>
        <w:pStyle w:val="BodyText"/>
      </w:pPr>
      <w:r>
        <w:rPr>
          <w:b/>
          <w:bCs/>
        </w:rPr>
        <w:t xml:space="preserve">Model Versioning &amp; Management</w:t>
      </w:r>
      <w:r>
        <w:t xml:space="preserve"> </w:t>
      </w:r>
      <w:r>
        <w:t xml:space="preserve">- MLflow: https://mlflow.org/docs/latest/index.html</w:t>
      </w:r>
      <w:r>
        <w:t xml:space="preserve"> </w:t>
      </w:r>
      <w:r>
        <w:t xml:space="preserve">- DVC (Data Version Control): https://dvc.org/</w:t>
      </w:r>
    </w:p>
    <w:p>
      <w:pPr>
        <w:pStyle w:val="BodyText"/>
      </w:pPr>
      <w:r>
        <w:rPr>
          <w:b/>
          <w:bCs/>
        </w:rPr>
        <w:t xml:space="preserve">CI/CD for ML</w:t>
      </w:r>
      <w:r>
        <w:t xml:space="preserve"> </w:t>
      </w:r>
      <w:r>
        <w:t xml:space="preserve">- Continuous Delivery for ML: https://martinfowler.com/articles/cd4ml.html</w:t>
      </w:r>
    </w:p>
    <w:p>
      <w:r>
        <w:pict>
          <v:rect style="width:0;height:1.5pt" o:hralign="center" o:hrstd="t" o:hr="t"/>
        </w:pict>
      </w:r>
    </w:p>
    <w:bookmarkEnd w:id="31"/>
    <w:bookmarkEnd w:id="32"/>
    <w:bookmarkStart w:id="35" w:name="domain-specific-remote-sensing-land-use"/>
    <w:p>
      <w:pPr>
        <w:pStyle w:val="Heading2"/>
      </w:pPr>
      <w:r>
        <w:t xml:space="preserve">7. Domain-Specific (Remote Sensing &amp; Land Use)</w:t>
      </w:r>
    </w:p>
    <w:bookmarkStart w:id="33" w:name="remote-sensing-satellite-imagery"/>
    <w:p>
      <w:pPr>
        <w:pStyle w:val="Heading3"/>
      </w:pPr>
      <w:r>
        <w:t xml:space="preserve">7.1 Remote Sensing &amp; Satellite Imagery</w:t>
      </w:r>
    </w:p>
    <w:p>
      <w:pPr>
        <w:pStyle w:val="FirstParagraph"/>
      </w:pPr>
      <w:r>
        <w:rPr>
          <w:b/>
          <w:bCs/>
        </w:rPr>
        <w:t xml:space="preserve">Land Cover Classification</w:t>
      </w:r>
      <w:r>
        <w:t xml:space="preserve"> </w:t>
      </w:r>
      <w:r>
        <w:t xml:space="preserve">- Phiri, D., &amp; Morgenroth, J. (2017).</w:t>
      </w:r>
      <w:r>
        <w:t xml:space="preserve"> </w:t>
      </w:r>
      <w:r>
        <w:t xml:space="preserve">“Developments in Landsat Land Cover Classification Methods.”</w:t>
      </w:r>
      <w:r>
        <w:t xml:space="preserve"> </w:t>
      </w:r>
      <w:r>
        <w:t xml:space="preserve">Remote Sensing, 9(9), 967.</w:t>
      </w:r>
      <w:r>
        <w:t xml:space="preserve"> </w:t>
      </w:r>
      <w:r>
        <w:t xml:space="preserve">- ESA Land Cover: https://www.esa-landcover-cci.org/</w:t>
      </w:r>
    </w:p>
    <w:p>
      <w:pPr>
        <w:pStyle w:val="BodyText"/>
      </w:pPr>
      <w:r>
        <w:rPr>
          <w:b/>
          <w:bCs/>
        </w:rPr>
        <w:t xml:space="preserve">Deep Learning for Remote Sensing</w:t>
      </w:r>
      <w:r>
        <w:t xml:space="preserve"> </w:t>
      </w:r>
      <w:r>
        <w:t xml:space="preserve">- Zhang, L., et al. (2016).</w:t>
      </w:r>
      <w:r>
        <w:t xml:space="preserve"> </w:t>
      </w:r>
      <w:r>
        <w:t xml:space="preserve">“Deep learning for remote sensing data.”</w:t>
      </w:r>
      <w:r>
        <w:t xml:space="preserve"> </w:t>
      </w:r>
      <w:r>
        <w:t xml:space="preserve">IEEE Geoscience and Remote Sensing Magazine, 4(2), 22-40.</w:t>
      </w:r>
      <w:r>
        <w:t xml:space="preserve"> </w:t>
      </w:r>
      <w:r>
        <w:t xml:space="preserve">- Review Paper: https://arxiv.org/abs/1710.03959</w:t>
      </w:r>
    </w:p>
    <w:bookmarkEnd w:id="33"/>
    <w:bookmarkStart w:id="34" w:name="new-zealand-land-cover-database"/>
    <w:p>
      <w:pPr>
        <w:pStyle w:val="Heading3"/>
      </w:pPr>
      <w:r>
        <w:t xml:space="preserve">7.2 New Zealand Land Cover Database</w:t>
      </w:r>
    </w:p>
    <w:p>
      <w:pPr>
        <w:pStyle w:val="FirstParagraph"/>
      </w:pPr>
      <w:r>
        <w:rPr>
          <w:b/>
          <w:bCs/>
        </w:rPr>
        <w:t xml:space="preserve">LCDB (Land Cover Database)</w:t>
      </w:r>
      <w:r>
        <w:t xml:space="preserve"> </w:t>
      </w:r>
      <w:r>
        <w:t xml:space="preserve">- Official Database: https://lris.scinfo.org.nz/layer/104400-lcdb-v50-land-cover-database-version-50-mainland-new-zealand/</w:t>
      </w:r>
      <w:r>
        <w:t xml:space="preserve"> </w:t>
      </w:r>
      <w:r>
        <w:t xml:space="preserve">- Landcare Research: https://www.landcareresearch.co.nz/tools-and-resources/mapping/lcdb/</w:t>
      </w:r>
    </w:p>
    <w:p>
      <w:pPr>
        <w:pStyle w:val="BodyText"/>
      </w:pPr>
      <w:r>
        <w:rPr>
          <w:b/>
          <w:bCs/>
        </w:rPr>
        <w:t xml:space="preserve">NZ Geospatial Data</w:t>
      </w:r>
      <w:r>
        <w:t xml:space="preserve"> </w:t>
      </w:r>
      <w:r>
        <w:t xml:space="preserve">- LINZ Data Service: https://data.linz.govt.nz/</w:t>
      </w:r>
      <w:r>
        <w:t xml:space="preserve"> </w:t>
      </w:r>
      <w:r>
        <w:t xml:space="preserve">- Stats NZ Geographic Data: https://datafinder.stats.govt.nz/</w:t>
      </w:r>
    </w:p>
    <w:p>
      <w:r>
        <w:pict>
          <v:rect style="width:0;height:1.5pt" o:hralign="center" o:hrstd="t" o:hr="t"/>
        </w:pict>
      </w:r>
    </w:p>
    <w:bookmarkEnd w:id="34"/>
    <w:bookmarkEnd w:id="35"/>
    <w:bookmarkStart w:id="38" w:name="business-legal-resources"/>
    <w:p>
      <w:pPr>
        <w:pStyle w:val="Heading2"/>
      </w:pPr>
      <w:r>
        <w:t xml:space="preserve">8. Business &amp; Legal Resources</w:t>
      </w:r>
    </w:p>
    <w:bookmarkStart w:id="36" w:name="intellectual-property"/>
    <w:p>
      <w:pPr>
        <w:pStyle w:val="Heading3"/>
      </w:pPr>
      <w:r>
        <w:t xml:space="preserve">8.1 Intellectual Property</w:t>
      </w:r>
    </w:p>
    <w:p>
      <w:pPr>
        <w:pStyle w:val="FirstParagraph"/>
      </w:pPr>
      <w:r>
        <w:rPr>
          <w:b/>
          <w:bCs/>
        </w:rPr>
        <w:t xml:space="preserve">WIPO (World Intellectual Property Organization)</w:t>
      </w:r>
      <w:r>
        <w:t xml:space="preserve"> </w:t>
      </w:r>
      <w:r>
        <w:t xml:space="preserve">- IP Basics: https://www.wipo.int/portal/en/</w:t>
      </w:r>
      <w:r>
        <w:t xml:space="preserve"> </w:t>
      </w:r>
      <w:r>
        <w:t xml:space="preserve">- AI &amp; IP Policy: https://www.wipo.int/about-ip/en/artificial_intelligence/</w:t>
      </w:r>
    </w:p>
    <w:p>
      <w:pPr>
        <w:pStyle w:val="BodyText"/>
      </w:pPr>
      <w:r>
        <w:rPr>
          <w:b/>
          <w:bCs/>
        </w:rPr>
        <w:t xml:space="preserve">New Zealand Intellectual Property Office</w:t>
      </w:r>
      <w:r>
        <w:t xml:space="preserve"> </w:t>
      </w:r>
      <w:r>
        <w:t xml:space="preserve">- IP New Zealand: https://www.iponz.govt.nz/</w:t>
      </w:r>
      <w:r>
        <w:t xml:space="preserve"> </w:t>
      </w:r>
      <w:r>
        <w:t xml:space="preserve">- Patent Guide: https://www.iponz.govt.nz/about-ip/patents/</w:t>
      </w:r>
    </w:p>
    <w:bookmarkEnd w:id="36"/>
    <w:bookmarkStart w:id="37" w:name="contract-commercial-law"/>
    <w:p>
      <w:pPr>
        <w:pStyle w:val="Heading3"/>
      </w:pPr>
      <w:r>
        <w:t xml:space="preserve">8.2 Contract &amp; Commercial Law</w:t>
      </w:r>
    </w:p>
    <w:p>
      <w:pPr>
        <w:pStyle w:val="FirstParagraph"/>
      </w:pPr>
      <w:r>
        <w:rPr>
          <w:b/>
          <w:bCs/>
        </w:rPr>
        <w:t xml:space="preserve">New Zealand Contract Law</w:t>
      </w:r>
      <w:r>
        <w:t xml:space="preserve"> </w:t>
      </w:r>
      <w:r>
        <w:t xml:space="preserve">- Contract and Commercial Law Act 2017: https://www.legislation.govt.nz/act/public/2017/0005/latest/DLM6844000.html</w:t>
      </w:r>
    </w:p>
    <w:p>
      <w:pPr>
        <w:pStyle w:val="BodyText"/>
      </w:pPr>
      <w:r>
        <w:rPr>
          <w:b/>
          <w:bCs/>
        </w:rPr>
        <w:t xml:space="preserve">Fair Trading Act 1986</w:t>
      </w:r>
      <w:r>
        <w:t xml:space="preserve"> </w:t>
      </w:r>
      <w:r>
        <w:t xml:space="preserve">- Official Text: https://www.legislation.govt.nz/act/public/1986/0121/latest/DLM96439.html</w:t>
      </w:r>
      <w:r>
        <w:t xml:space="preserve"> </w:t>
      </w:r>
      <w:r>
        <w:t xml:space="preserve">- Commerce Commission: https://comcom.govt.nz/</w:t>
      </w:r>
    </w:p>
    <w:p>
      <w:pPr>
        <w:pStyle w:val="BodyText"/>
      </w:pPr>
      <w:r>
        <w:rPr>
          <w:b/>
          <w:bCs/>
        </w:rPr>
        <w:t xml:space="preserve">Consumer Guarantees Act 1993</w:t>
      </w:r>
      <w:r>
        <w:t xml:space="preserve"> </w:t>
      </w:r>
      <w:r>
        <w:t xml:space="preserve">- Legislation: https://www.legislation.govt.nz/act/public/1993/0091/latest/DLM311053.html</w:t>
      </w:r>
    </w:p>
    <w:p>
      <w:r>
        <w:pict>
          <v:rect style="width:0;height:1.5pt" o:hralign="center" o:hrstd="t" o:hr="t"/>
        </w:pict>
      </w:r>
    </w:p>
    <w:bookmarkEnd w:id="37"/>
    <w:bookmarkEnd w:id="38"/>
    <w:bookmarkStart w:id="41" w:name="financial-accounting"/>
    <w:p>
      <w:pPr>
        <w:pStyle w:val="Heading2"/>
      </w:pPr>
      <w:r>
        <w:t xml:space="preserve">9. Financial &amp; Accounting</w:t>
      </w:r>
    </w:p>
    <w:bookmarkStart w:id="39" w:name="tax-financial-compliance"/>
    <w:p>
      <w:pPr>
        <w:pStyle w:val="Heading3"/>
      </w:pPr>
      <w:r>
        <w:t xml:space="preserve">9.1 Tax &amp; Financial Compliance</w:t>
      </w:r>
    </w:p>
    <w:p>
      <w:pPr>
        <w:pStyle w:val="FirstParagraph"/>
      </w:pPr>
      <w:r>
        <w:rPr>
          <w:b/>
          <w:bCs/>
        </w:rPr>
        <w:t xml:space="preserve">New Zealand Tax System</w:t>
      </w:r>
      <w:r>
        <w:t xml:space="preserve"> </w:t>
      </w:r>
      <w:r>
        <w:t xml:space="preserve">- Inland Revenue: https://www.ird.govt.nz/</w:t>
      </w:r>
      <w:r>
        <w:t xml:space="preserve"> </w:t>
      </w:r>
      <w:r>
        <w:t xml:space="preserve">- GST Registration: https://www.ird.govt.nz/gst/registering-for-gst</w:t>
      </w:r>
    </w:p>
    <w:p>
      <w:pPr>
        <w:pStyle w:val="BodyText"/>
      </w:pPr>
      <w:r>
        <w:rPr>
          <w:b/>
          <w:bCs/>
        </w:rPr>
        <w:t xml:space="preserve">Financial Reporting Standards</w:t>
      </w:r>
      <w:r>
        <w:t xml:space="preserve"> </w:t>
      </w:r>
      <w:r>
        <w:t xml:space="preserve">- External Reporting Board: https://www.xrb.govt.nz/</w:t>
      </w:r>
      <w:r>
        <w:t xml:space="preserve"> </w:t>
      </w:r>
      <w:r>
        <w:t xml:space="preserve">- Accounting Standards: https://www.xrb.govt.nz/accounting-standards/</w:t>
      </w:r>
    </w:p>
    <w:bookmarkEnd w:id="39"/>
    <w:bookmarkStart w:id="40" w:name="anti-money-laundering"/>
    <w:p>
      <w:pPr>
        <w:pStyle w:val="Heading3"/>
      </w:pPr>
      <w:r>
        <w:t xml:space="preserve">9.2 Anti-Money Laundering</w:t>
      </w:r>
    </w:p>
    <w:p>
      <w:pPr>
        <w:pStyle w:val="FirstParagraph"/>
      </w:pPr>
      <w:r>
        <w:rPr>
          <w:b/>
          <w:bCs/>
        </w:rPr>
        <w:t xml:space="preserve">Anti-Money Laundering and Countering Financing of Terrorism Act 2009</w:t>
      </w:r>
      <w:r>
        <w:t xml:space="preserve"> </w:t>
      </w:r>
      <w:r>
        <w:t xml:space="preserve">- Official Legislation: https://www.legislation.govt.nz/act/public/2009/0035/latest/DLM2140700.html</w:t>
      </w:r>
      <w:r>
        <w:t xml:space="preserve"> </w:t>
      </w:r>
      <w:r>
        <w:t xml:space="preserve">- DIA Guidance: https://www.dia.govt.nz/AML-CFT</w:t>
      </w:r>
    </w:p>
    <w:p>
      <w:r>
        <w:pict>
          <v:rect style="width:0;height:1.5pt" o:hralign="center" o:hrstd="t" o:hr="t"/>
        </w:pict>
      </w:r>
    </w:p>
    <w:bookmarkEnd w:id="40"/>
    <w:bookmarkEnd w:id="41"/>
    <w:bookmarkStart w:id="45" w:name="academic-research-papers"/>
    <w:p>
      <w:pPr>
        <w:pStyle w:val="Heading2"/>
      </w:pPr>
      <w:r>
        <w:t xml:space="preserve">10. Academic &amp; Research Papers</w:t>
      </w:r>
    </w:p>
    <w:bookmarkStart w:id="42" w:name="ai-ethics-responsible-ai"/>
    <w:p>
      <w:pPr>
        <w:pStyle w:val="Heading3"/>
      </w:pPr>
      <w:r>
        <w:t xml:space="preserve">10.1 AI Ethics &amp; Responsible AI</w:t>
      </w:r>
    </w:p>
    <w:p>
      <w:pPr>
        <w:pStyle w:val="Compact"/>
        <w:numPr>
          <w:ilvl w:val="0"/>
          <w:numId w:val="1001"/>
        </w:numPr>
      </w:pPr>
      <w:r>
        <w:t xml:space="preserve">Jobin, A., et al. (2019).</w:t>
      </w:r>
      <w:r>
        <w:t xml:space="preserve"> </w:t>
      </w:r>
      <w:r>
        <w:t xml:space="preserve">“The global landscape of AI ethics guidelines.”</w:t>
      </w:r>
      <w:r>
        <w:t xml:space="preserve"> </w:t>
      </w:r>
      <w:r>
        <w:t xml:space="preserve">Nature Machine Intelligence, 1(9), 389-399.</w:t>
      </w:r>
    </w:p>
    <w:p>
      <w:pPr>
        <w:pStyle w:val="Compact"/>
        <w:numPr>
          <w:ilvl w:val="0"/>
          <w:numId w:val="1001"/>
        </w:numPr>
      </w:pPr>
      <w:r>
        <w:t xml:space="preserve">Floridi, L., et al. (2018).</w:t>
      </w:r>
      <w:r>
        <w:t xml:space="preserve"> </w:t>
      </w:r>
      <w:r>
        <w:t xml:space="preserve">“AI4People—An Ethical Framework for a Good AI Society.”</w:t>
      </w:r>
      <w:r>
        <w:t xml:space="preserve"> </w:t>
      </w:r>
      <w:r>
        <w:t xml:space="preserve">Minds and Machines, 28(4), 689-707.</w:t>
      </w:r>
    </w:p>
    <w:p>
      <w:pPr>
        <w:pStyle w:val="Compact"/>
        <w:numPr>
          <w:ilvl w:val="0"/>
          <w:numId w:val="1001"/>
        </w:numPr>
      </w:pPr>
      <w:r>
        <w:t xml:space="preserve">Mittelstadt, B. (2019).</w:t>
      </w:r>
      <w:r>
        <w:t xml:space="preserve"> </w:t>
      </w:r>
      <w:r>
        <w:t xml:space="preserve">“Principles alone cannot guarantee ethical AI.”</w:t>
      </w:r>
      <w:r>
        <w:t xml:space="preserve"> </w:t>
      </w:r>
      <w:r>
        <w:t xml:space="preserve">Nature Machine Intelligence, 1(11), 501-507.</w:t>
      </w:r>
    </w:p>
    <w:bookmarkEnd w:id="42"/>
    <w:bookmarkStart w:id="43" w:name="carbon-credits-climate-science"/>
    <w:p>
      <w:pPr>
        <w:pStyle w:val="Heading3"/>
      </w:pPr>
      <w:r>
        <w:t xml:space="preserve">10.2 Carbon Credits &amp; Climate Science</w:t>
      </w:r>
    </w:p>
    <w:p>
      <w:pPr>
        <w:pStyle w:val="Compact"/>
        <w:numPr>
          <w:ilvl w:val="0"/>
          <w:numId w:val="1002"/>
        </w:numPr>
      </w:pPr>
      <w:r>
        <w:t xml:space="preserve">Seddon, N., et al. (2019).</w:t>
      </w:r>
      <w:r>
        <w:t xml:space="preserve"> </w:t>
      </w:r>
      <w:r>
        <w:t xml:space="preserve">“Understanding the value and limits of nature-based solutions to climate change.”</w:t>
      </w:r>
      <w:r>
        <w:t xml:space="preserve"> </w:t>
      </w:r>
      <w:r>
        <w:t xml:space="preserve">Philosophical Transactions of the Royal Society B, 375(1794).</w:t>
      </w:r>
    </w:p>
    <w:p>
      <w:pPr>
        <w:pStyle w:val="Compact"/>
        <w:numPr>
          <w:ilvl w:val="0"/>
          <w:numId w:val="1002"/>
        </w:numPr>
      </w:pPr>
      <w:r>
        <w:t xml:space="preserve">IPCC Special Report: https://www.ipcc.ch/sr15/</w:t>
      </w:r>
    </w:p>
    <w:p>
      <w:pPr>
        <w:pStyle w:val="Compact"/>
        <w:numPr>
          <w:ilvl w:val="0"/>
          <w:numId w:val="1002"/>
        </w:numPr>
      </w:pPr>
      <w:r>
        <w:t xml:space="preserve">New Zealand Climate Change Research: https://www.niwa.co.nz/climate</w:t>
      </w:r>
    </w:p>
    <w:bookmarkEnd w:id="43"/>
    <w:bookmarkStart w:id="44" w:name="computer-vision-deep-learning"/>
    <w:p>
      <w:pPr>
        <w:pStyle w:val="Heading3"/>
      </w:pPr>
      <w:r>
        <w:t xml:space="preserve">10.3 Computer Vision &amp; Deep Learning</w:t>
      </w:r>
    </w:p>
    <w:p>
      <w:pPr>
        <w:pStyle w:val="Compact"/>
        <w:numPr>
          <w:ilvl w:val="0"/>
          <w:numId w:val="1003"/>
        </w:numPr>
      </w:pPr>
      <w:r>
        <w:t xml:space="preserve">LeCun, Y., et al. (2015).</w:t>
      </w:r>
      <w:r>
        <w:t xml:space="preserve"> </w:t>
      </w:r>
      <w:r>
        <w:t xml:space="preserve">“Deep learning.”</w:t>
      </w:r>
      <w:r>
        <w:t xml:space="preserve"> </w:t>
      </w:r>
      <w:r>
        <w:t xml:space="preserve">Nature, 521(7553), 436-444.</w:t>
      </w:r>
    </w:p>
    <w:p>
      <w:pPr>
        <w:pStyle w:val="Compact"/>
        <w:numPr>
          <w:ilvl w:val="0"/>
          <w:numId w:val="1003"/>
        </w:numPr>
      </w:pPr>
      <w:r>
        <w:t xml:space="preserve">Goodfellow, I., et al. (2016).</w:t>
      </w:r>
      <w:r>
        <w:t xml:space="preserve"> </w:t>
      </w:r>
      <w:r>
        <w:t xml:space="preserve">“Deep Learning.”</w:t>
      </w:r>
      <w:r>
        <w:t xml:space="preserve"> </w:t>
      </w:r>
      <w:r>
        <w:t xml:space="preserve">MIT Press. https://www.deeplearningbook.org/</w:t>
      </w:r>
    </w:p>
    <w:p>
      <w:pPr>
        <w:pStyle w:val="Compact"/>
        <w:numPr>
          <w:ilvl w:val="0"/>
          <w:numId w:val="1003"/>
        </w:numPr>
      </w:pPr>
      <w:r>
        <w:t xml:space="preserve">He, K., et al. (2016).</w:t>
      </w:r>
      <w:r>
        <w:t xml:space="preserve"> </w:t>
      </w:r>
      <w:r>
        <w:t xml:space="preserve">“Deep Residual Learning for Image Recognition.”</w:t>
      </w:r>
      <w:r>
        <w:t xml:space="preserve"> </w:t>
      </w:r>
      <w:r>
        <w:t xml:space="preserve">CVPR 2016.</w:t>
      </w:r>
    </w:p>
    <w:p>
      <w:r>
        <w:pict>
          <v:rect style="width:0;height:1.5pt" o:hralign="center" o:hrstd="t" o:hr="t"/>
        </w:pict>
      </w:r>
    </w:p>
    <w:bookmarkEnd w:id="44"/>
    <w:bookmarkEnd w:id="45"/>
    <w:bookmarkStart w:id="48" w:name="professional-organizations-resources"/>
    <w:p>
      <w:pPr>
        <w:pStyle w:val="Heading2"/>
      </w:pPr>
      <w:r>
        <w:t xml:space="preserve">11. Professional Organizations &amp; Resources</w:t>
      </w:r>
    </w:p>
    <w:bookmarkStart w:id="46" w:name="ai-technology"/>
    <w:p>
      <w:pPr>
        <w:pStyle w:val="Heading3"/>
      </w:pPr>
      <w:r>
        <w:t xml:space="preserve">11.1 AI &amp; Technology</w:t>
      </w:r>
    </w:p>
    <w:p>
      <w:pPr>
        <w:pStyle w:val="FirstParagraph"/>
      </w:pPr>
      <w:r>
        <w:rPr>
          <w:b/>
          <w:bCs/>
        </w:rPr>
        <w:t xml:space="preserve">Partnership on AI</w:t>
      </w:r>
      <w:r>
        <w:t xml:space="preserve"> </w:t>
      </w:r>
      <w:r>
        <w:t xml:space="preserve">- Website: https://partnershiponai.org/</w:t>
      </w:r>
    </w:p>
    <w:p>
      <w:pPr>
        <w:pStyle w:val="BodyText"/>
      </w:pPr>
      <w:r>
        <w:rPr>
          <w:b/>
          <w:bCs/>
        </w:rPr>
        <w:t xml:space="preserve">AI Now Institute</w:t>
      </w:r>
      <w:r>
        <w:t xml:space="preserve"> </w:t>
      </w:r>
      <w:r>
        <w:t xml:space="preserve">- Research: https://ainowinstitute.org/</w:t>
      </w:r>
    </w:p>
    <w:p>
      <w:pPr>
        <w:pStyle w:val="BodyText"/>
      </w:pPr>
      <w:r>
        <w:rPr>
          <w:b/>
          <w:bCs/>
        </w:rPr>
        <w:t xml:space="preserve">The Alan Turing Institute</w:t>
      </w:r>
      <w:r>
        <w:t xml:space="preserve"> </w:t>
      </w:r>
      <w:r>
        <w:t xml:space="preserve">- AI Ethics: https://www.turing.ac.uk/research/interest-groups/ai-ethics</w:t>
      </w:r>
    </w:p>
    <w:bookmarkEnd w:id="46"/>
    <w:bookmarkStart w:id="47" w:name="environmental-carbon-markets"/>
    <w:p>
      <w:pPr>
        <w:pStyle w:val="Heading3"/>
      </w:pPr>
      <w:r>
        <w:t xml:space="preserve">11.2 Environmental &amp; Carbon Markets</w:t>
      </w:r>
    </w:p>
    <w:p>
      <w:pPr>
        <w:pStyle w:val="FirstParagraph"/>
      </w:pPr>
      <w:r>
        <w:rPr>
          <w:b/>
          <w:bCs/>
        </w:rPr>
        <w:t xml:space="preserve">International Carbon Action Partnership (ICAP)</w:t>
      </w:r>
      <w:r>
        <w:t xml:space="preserve"> </w:t>
      </w:r>
      <w:r>
        <w:t xml:space="preserve">- ETS Resources: https://icapcarbonaction.com/</w:t>
      </w:r>
    </w:p>
    <w:p>
      <w:pPr>
        <w:pStyle w:val="BodyText"/>
      </w:pPr>
      <w:r>
        <w:rPr>
          <w:b/>
          <w:bCs/>
        </w:rPr>
        <w:t xml:space="preserve">Carbon Market Watch</w:t>
      </w:r>
      <w:r>
        <w:t xml:space="preserve"> </w:t>
      </w:r>
      <w:r>
        <w:t xml:space="preserve">- Market Analysis: https://carbonmarketwatch.org/</w:t>
      </w:r>
    </w:p>
    <w:p>
      <w:pPr>
        <w:pStyle w:val="BodyText"/>
      </w:pPr>
      <w:r>
        <w:rPr>
          <w:b/>
          <w:bCs/>
        </w:rPr>
        <w:t xml:space="preserve">New Zealand Carbon Farming Association</w:t>
      </w:r>
      <w:r>
        <w:t xml:space="preserve"> </w:t>
      </w:r>
      <w:r>
        <w:t xml:space="preserve">- Resources: https://www.carbonfarming.org.nz/</w:t>
      </w:r>
    </w:p>
    <w:p>
      <w:r>
        <w:pict>
          <v:rect style="width:0;height:1.5pt" o:hralign="center" o:hrstd="t" o:hr="t"/>
        </w:pict>
      </w:r>
    </w:p>
    <w:bookmarkEnd w:id="47"/>
    <w:bookmarkEnd w:id="48"/>
    <w:bookmarkStart w:id="51" w:name="tools-software-documentation"/>
    <w:p>
      <w:pPr>
        <w:pStyle w:val="Heading2"/>
      </w:pPr>
      <w:r>
        <w:t xml:space="preserve">12. Tools &amp; Software Documentation</w:t>
      </w:r>
    </w:p>
    <w:bookmarkStart w:id="49" w:name="development-tools"/>
    <w:p>
      <w:pPr>
        <w:pStyle w:val="Heading3"/>
      </w:pPr>
      <w:r>
        <w:t xml:space="preserve">12.1 Development Tools</w:t>
      </w:r>
    </w:p>
    <w:p>
      <w:pPr>
        <w:pStyle w:val="FirstParagraph"/>
      </w:pPr>
      <w:r>
        <w:rPr>
          <w:b/>
          <w:bCs/>
        </w:rPr>
        <w:t xml:space="preserve">Python</w:t>
      </w:r>
      <w:r>
        <w:t xml:space="preserve"> </w:t>
      </w:r>
      <w:r>
        <w:t xml:space="preserve">- Official Documentation: https://docs.python.org/3/</w:t>
      </w:r>
    </w:p>
    <w:p>
      <w:pPr>
        <w:pStyle w:val="BodyText"/>
      </w:pPr>
      <w:r>
        <w:rPr>
          <w:b/>
          <w:bCs/>
        </w:rPr>
        <w:t xml:space="preserve">PyTorch</w:t>
      </w:r>
      <w:r>
        <w:t xml:space="preserve"> </w:t>
      </w:r>
      <w:r>
        <w:t xml:space="preserve">- Documentation: https://pytorch.org/docs/</w:t>
      </w:r>
      <w:r>
        <w:t xml:space="preserve"> </w:t>
      </w:r>
      <w:r>
        <w:t xml:space="preserve">- Tutorials: https://pytorch.org/tutorials/</w:t>
      </w:r>
    </w:p>
    <w:p>
      <w:pPr>
        <w:pStyle w:val="BodyText"/>
      </w:pPr>
      <w:r>
        <w:rPr>
          <w:b/>
          <w:bCs/>
        </w:rPr>
        <w:t xml:space="preserve">Scikit-learn</w:t>
      </w:r>
      <w:r>
        <w:t xml:space="preserve"> </w:t>
      </w:r>
      <w:r>
        <w:t xml:space="preserve">- Documentation: https://scikit-learn.org/stable/</w:t>
      </w:r>
    </w:p>
    <w:p>
      <w:pPr>
        <w:pStyle w:val="BodyText"/>
      </w:pPr>
      <w:r>
        <w:rPr>
          <w:b/>
          <w:bCs/>
        </w:rPr>
        <w:t xml:space="preserve">OpenCV</w:t>
      </w:r>
      <w:r>
        <w:t xml:space="preserve"> </w:t>
      </w:r>
      <w:r>
        <w:t xml:space="preserve">- Documentation: https://docs.opencv.org/</w:t>
      </w:r>
    </w:p>
    <w:p>
      <w:pPr>
        <w:pStyle w:val="BodyText"/>
      </w:pPr>
      <w:r>
        <w:rPr>
          <w:b/>
          <w:bCs/>
        </w:rPr>
        <w:t xml:space="preserve">Pandas</w:t>
      </w:r>
      <w:r>
        <w:t xml:space="preserve"> </w:t>
      </w:r>
      <w:r>
        <w:t xml:space="preserve">- Documentation: https://pandas.pydata.org/docs/</w:t>
      </w:r>
    </w:p>
    <w:bookmarkEnd w:id="49"/>
    <w:bookmarkStart w:id="50" w:name="cloud-infrastructure"/>
    <w:p>
      <w:pPr>
        <w:pStyle w:val="Heading3"/>
      </w:pPr>
      <w:r>
        <w:t xml:space="preserve">12.2 Cloud &amp; Infrastructure</w:t>
      </w:r>
    </w:p>
    <w:p>
      <w:pPr>
        <w:pStyle w:val="FirstParagraph"/>
      </w:pPr>
      <w:r>
        <w:rPr>
          <w:b/>
          <w:bCs/>
        </w:rPr>
        <w:t xml:space="preserve">Microsoft Azure</w:t>
      </w:r>
      <w:r>
        <w:t xml:space="preserve"> </w:t>
      </w:r>
      <w:r>
        <w:t xml:space="preserve">- Azure ML: https://learn.microsoft.com/en-us/azure/machine-learning/</w:t>
      </w:r>
      <w:r>
        <w:t xml:space="preserve"> </w:t>
      </w:r>
      <w:r>
        <w:t xml:space="preserve">- Azure Security: https://learn.microsoft.com/en-us/azure/security/</w:t>
      </w:r>
    </w:p>
    <w:p>
      <w:pPr>
        <w:pStyle w:val="BodyText"/>
      </w:pPr>
      <w:r>
        <w:rPr>
          <w:b/>
          <w:bCs/>
        </w:rPr>
        <w:t xml:space="preserve">AWS</w:t>
      </w:r>
      <w:r>
        <w:t xml:space="preserve"> </w:t>
      </w:r>
      <w:r>
        <w:t xml:space="preserve">- SageMaker: https://aws.amazon.com/sagemaker/</w:t>
      </w:r>
      <w:r>
        <w:t xml:space="preserve"> </w:t>
      </w:r>
      <w:r>
        <w:t xml:space="preserve">- AWS Well-Architected: https://aws.amazon.com/architecture/well-architected/</w:t>
      </w:r>
    </w:p>
    <w:p>
      <w:pPr>
        <w:pStyle w:val="BodyText"/>
      </w:pPr>
      <w:r>
        <w:rPr>
          <w:b/>
          <w:bCs/>
        </w:rPr>
        <w:t xml:space="preserve">Google Cloud</w:t>
      </w:r>
      <w:r>
        <w:t xml:space="preserve"> </w:t>
      </w:r>
      <w:r>
        <w:t xml:space="preserve">- Vertex AI: https://cloud.google.com/vertex-ai</w:t>
      </w:r>
      <w:r>
        <w:t xml:space="preserve"> </w:t>
      </w:r>
      <w:r>
        <w:t xml:space="preserve">- AI Best Practices: https://cloud.google.com/architecture/ml-on-gcp-best-practices</w:t>
      </w:r>
    </w:p>
    <w:p>
      <w:r>
        <w:pict>
          <v:rect style="width:0;height:1.5pt" o:hralign="center" o:hrstd="t" o:hr="t"/>
        </w:pict>
      </w:r>
    </w:p>
    <w:bookmarkEnd w:id="50"/>
    <w:bookmarkEnd w:id="51"/>
    <w:bookmarkStart w:id="54" w:name="industry-reports-whitepapers"/>
    <w:p>
      <w:pPr>
        <w:pStyle w:val="Heading2"/>
      </w:pPr>
      <w:r>
        <w:t xml:space="preserve">13. Industry Reports &amp; Whitepapers</w:t>
      </w:r>
    </w:p>
    <w:bookmarkStart w:id="52" w:name="ai-industry-reports"/>
    <w:p>
      <w:pPr>
        <w:pStyle w:val="Heading3"/>
      </w:pPr>
      <w:r>
        <w:t xml:space="preserve">13.1 AI Industry Reports</w:t>
      </w:r>
    </w:p>
    <w:p>
      <w:pPr>
        <w:pStyle w:val="Compact"/>
        <w:numPr>
          <w:ilvl w:val="0"/>
          <w:numId w:val="1004"/>
        </w:numPr>
      </w:pPr>
      <w:r>
        <w:t xml:space="preserve">McKinsey Global Institute (2023).</w:t>
      </w:r>
      <w:r>
        <w:t xml:space="preserve"> </w:t>
      </w:r>
      <w:r>
        <w:t xml:space="preserve">“The state of AI in 2023: Generative AI’s breakout year.”</w:t>
      </w:r>
    </w:p>
    <w:p>
      <w:pPr>
        <w:pStyle w:val="Compact"/>
        <w:numPr>
          <w:ilvl w:val="0"/>
          <w:numId w:val="1004"/>
        </w:numPr>
      </w:pPr>
      <w:r>
        <w:t xml:space="preserve">Gartner AI Maturity Model: https://www.gartner.com/en/documents/</w:t>
      </w:r>
    </w:p>
    <w:p>
      <w:pPr>
        <w:pStyle w:val="Compact"/>
        <w:numPr>
          <w:ilvl w:val="0"/>
          <w:numId w:val="1004"/>
        </w:numPr>
      </w:pPr>
      <w:r>
        <w:t xml:space="preserve">Forrester AI Wave Reports: https://www.forrester.com/</w:t>
      </w:r>
    </w:p>
    <w:bookmarkEnd w:id="52"/>
    <w:bookmarkStart w:id="53" w:name="carbon-market-reports"/>
    <w:p>
      <w:pPr>
        <w:pStyle w:val="Heading3"/>
      </w:pPr>
      <w:r>
        <w:t xml:space="preserve">13.2 Carbon Market Reports</w:t>
      </w:r>
    </w:p>
    <w:p>
      <w:pPr>
        <w:pStyle w:val="FirstParagraph"/>
      </w:pPr>
      <w:r>
        <w:rPr>
          <w:b/>
          <w:bCs/>
        </w:rPr>
        <w:t xml:space="preserve">New Zealand Specific:</w:t>
      </w:r>
      <w:r>
        <w:t xml:space="preserve"> </w:t>
      </w:r>
      <w:r>
        <w:t xml:space="preserve">- Ministry for the Environment NZ ETS Reports: https://environment.govt.nz/what-government-is-doing/areas-of-work/climate-change/ets/</w:t>
      </w:r>
      <w:r>
        <w:t xml:space="preserve"> </w:t>
      </w:r>
      <w:r>
        <w:t xml:space="preserve">- Parliamentary Commissioner for the Environment: https://pce.parliament.nz/</w:t>
      </w:r>
    </w:p>
    <w:p>
      <w:pPr>
        <w:pStyle w:val="BodyText"/>
      </w:pPr>
      <w:r>
        <w:rPr>
          <w:b/>
          <w:bCs/>
        </w:rPr>
        <w:t xml:space="preserve">International (Reference):</w:t>
      </w:r>
      <w:r>
        <w:t xml:space="preserve"> </w:t>
      </w:r>
      <w:r>
        <w:t xml:space="preserve">- World Bank State and Trends of Carbon Pricing: https://www.worldbank.org/en/programs/pricing-carbon</w:t>
      </w:r>
      <w:r>
        <w:t xml:space="preserve"> </w:t>
      </w:r>
      <w:r>
        <w:t xml:space="preserve">- Ecosystem Marketplace Reports: https://www.ecosystemmarketplace.com/</w:t>
      </w:r>
    </w:p>
    <w:p>
      <w:r>
        <w:pict>
          <v:rect style="width:0;height:1.5pt" o:hralign="center" o:hrstd="t" o:hr="t"/>
        </w:pict>
      </w:r>
    </w:p>
    <w:bookmarkEnd w:id="53"/>
    <w:bookmarkEnd w:id="54"/>
    <w:bookmarkStart w:id="57" w:name="training-certification-resources"/>
    <w:p>
      <w:pPr>
        <w:pStyle w:val="Heading2"/>
      </w:pPr>
      <w:r>
        <w:t xml:space="preserve">14. Training &amp; Certification Resources</w:t>
      </w:r>
    </w:p>
    <w:bookmarkStart w:id="55" w:name="ai-ml-certifications"/>
    <w:p>
      <w:pPr>
        <w:pStyle w:val="Heading3"/>
      </w:pPr>
      <w:r>
        <w:t xml:space="preserve">14.1 AI &amp; ML Certifications</w:t>
      </w:r>
    </w:p>
    <w:p>
      <w:pPr>
        <w:pStyle w:val="FirstParagraph"/>
      </w:pPr>
      <w:r>
        <w:rPr>
          <w:b/>
          <w:bCs/>
        </w:rPr>
        <w:t xml:space="preserve">Coursera</w:t>
      </w:r>
      <w:r>
        <w:t xml:space="preserve"> </w:t>
      </w:r>
      <w:r>
        <w:t xml:space="preserve">- Deep Learning Specialization (Andrew Ng): https://www.coursera.org/specializations/deep-learning</w:t>
      </w:r>
      <w:r>
        <w:t xml:space="preserve"> </w:t>
      </w:r>
      <w:r>
        <w:t xml:space="preserve">- AI For Everyone: https://www.coursera.org/learn/ai-for-everyone</w:t>
      </w:r>
    </w:p>
    <w:p>
      <w:pPr>
        <w:pStyle w:val="BodyText"/>
      </w:pPr>
      <w:r>
        <w:rPr>
          <w:b/>
          <w:bCs/>
        </w:rPr>
        <w:t xml:space="preserve">Fast.ai</w:t>
      </w:r>
      <w:r>
        <w:t xml:space="preserve"> </w:t>
      </w:r>
      <w:r>
        <w:t xml:space="preserve">- Practical Deep Learning: https://course.fast.ai/</w:t>
      </w:r>
    </w:p>
    <w:bookmarkEnd w:id="55"/>
    <w:bookmarkStart w:id="56" w:name="compliance-privacy-certifications"/>
    <w:p>
      <w:pPr>
        <w:pStyle w:val="Heading3"/>
      </w:pPr>
      <w:r>
        <w:t xml:space="preserve">14.2 Compliance &amp; Privacy Certifications</w:t>
      </w:r>
    </w:p>
    <w:p>
      <w:pPr>
        <w:pStyle w:val="FirstParagraph"/>
      </w:pPr>
      <w:r>
        <w:rPr>
          <w:b/>
          <w:bCs/>
        </w:rPr>
        <w:t xml:space="preserve">IAPP (International Association of Privacy Professionals)</w:t>
      </w:r>
      <w:r>
        <w:t xml:space="preserve"> </w:t>
      </w:r>
      <w:r>
        <w:t xml:space="preserve">- CIPP/E, CIPM Certifications: https://iapp.org/certify/</w:t>
      </w:r>
    </w:p>
    <w:p>
      <w:pPr>
        <w:pStyle w:val="BodyText"/>
      </w:pPr>
      <w:r>
        <w:rPr>
          <w:b/>
          <w:bCs/>
        </w:rPr>
        <w:t xml:space="preserve">ISACA</w:t>
      </w:r>
      <w:r>
        <w:t xml:space="preserve"> </w:t>
      </w:r>
      <w:r>
        <w:t xml:space="preserve">- CISA, CISM Certifications: https://www.isaca.org/credentialing</w:t>
      </w:r>
    </w:p>
    <w:p>
      <w:pPr>
        <w:pStyle w:val="BodyText"/>
      </w:pPr>
      <w:r>
        <w:rPr>
          <w:b/>
          <w:bCs/>
        </w:rPr>
        <w:t xml:space="preserve">ISC2</w:t>
      </w:r>
      <w:r>
        <w:t xml:space="preserve"> </w:t>
      </w:r>
      <w:r>
        <w:t xml:space="preserve">- CISSP Certification: https://www.isc2.org/Certifications/CISSP</w:t>
      </w:r>
    </w:p>
    <w:p>
      <w:r>
        <w:pict>
          <v:rect style="width:0;height:1.5pt" o:hralign="center" o:hrstd="t" o:hr="t"/>
        </w:pict>
      </w:r>
    </w:p>
    <w:bookmarkEnd w:id="56"/>
    <w:bookmarkEnd w:id="57"/>
    <w:bookmarkStart w:id="60" w:name="conference-proceedings-journals"/>
    <w:p>
      <w:pPr>
        <w:pStyle w:val="Heading2"/>
      </w:pPr>
      <w:r>
        <w:t xml:space="preserve">15. Conference Proceedings &amp; Journals</w:t>
      </w:r>
    </w:p>
    <w:bookmarkStart w:id="58" w:name="ai-ml-conferences"/>
    <w:p>
      <w:pPr>
        <w:pStyle w:val="Heading3"/>
      </w:pPr>
      <w:r>
        <w:t xml:space="preserve">15.1 AI &amp; ML Conferences</w:t>
      </w:r>
    </w:p>
    <w:p>
      <w:pPr>
        <w:pStyle w:val="Compact"/>
        <w:numPr>
          <w:ilvl w:val="0"/>
          <w:numId w:val="1005"/>
        </w:numPr>
      </w:pPr>
      <w:r>
        <w:t xml:space="preserve">NeurIPS (Conference on Neural Information Processing Systems)</w:t>
      </w:r>
    </w:p>
    <w:p>
      <w:pPr>
        <w:pStyle w:val="Compact"/>
        <w:numPr>
          <w:ilvl w:val="0"/>
          <w:numId w:val="1005"/>
        </w:numPr>
      </w:pPr>
      <w:r>
        <w:t xml:space="preserve">ICML (International Conference on Machine Learning)</w:t>
      </w:r>
    </w:p>
    <w:p>
      <w:pPr>
        <w:pStyle w:val="Compact"/>
        <w:numPr>
          <w:ilvl w:val="0"/>
          <w:numId w:val="1005"/>
        </w:numPr>
      </w:pPr>
      <w:r>
        <w:t xml:space="preserve">CVPR (Computer Vision and Pattern Recognition)</w:t>
      </w:r>
    </w:p>
    <w:p>
      <w:pPr>
        <w:pStyle w:val="Compact"/>
        <w:numPr>
          <w:ilvl w:val="0"/>
          <w:numId w:val="1005"/>
        </w:numPr>
      </w:pPr>
      <w:r>
        <w:t xml:space="preserve">ICCV (International Conference on Computer Vision)</w:t>
      </w:r>
    </w:p>
    <w:p>
      <w:pPr>
        <w:pStyle w:val="Compact"/>
        <w:numPr>
          <w:ilvl w:val="0"/>
          <w:numId w:val="1005"/>
        </w:numPr>
      </w:pPr>
      <w:r>
        <w:t xml:space="preserve">AAAI (Association for the Advancement of Artificial Intelligence)</w:t>
      </w:r>
    </w:p>
    <w:bookmarkEnd w:id="58"/>
    <w:bookmarkStart w:id="59" w:name="academic-journals"/>
    <w:p>
      <w:pPr>
        <w:pStyle w:val="Heading3"/>
      </w:pPr>
      <w:r>
        <w:t xml:space="preserve">15.2 Academic Journals</w:t>
      </w:r>
    </w:p>
    <w:p>
      <w:pPr>
        <w:pStyle w:val="Compact"/>
        <w:numPr>
          <w:ilvl w:val="0"/>
          <w:numId w:val="1006"/>
        </w:numPr>
      </w:pPr>
      <w:r>
        <w:t xml:space="preserve">Nature Machine Intelligence</w:t>
      </w:r>
    </w:p>
    <w:p>
      <w:pPr>
        <w:pStyle w:val="Compact"/>
        <w:numPr>
          <w:ilvl w:val="0"/>
          <w:numId w:val="1006"/>
        </w:numPr>
      </w:pPr>
      <w:r>
        <w:t xml:space="preserve">Journal of Machine Learning Research (JMLR)</w:t>
      </w:r>
    </w:p>
    <w:p>
      <w:pPr>
        <w:pStyle w:val="Compact"/>
        <w:numPr>
          <w:ilvl w:val="0"/>
          <w:numId w:val="1006"/>
        </w:numPr>
      </w:pPr>
      <w:r>
        <w:t xml:space="preserve">IEEE Transactions on Pattern Analysis and Machine Intelligence</w:t>
      </w:r>
    </w:p>
    <w:p>
      <w:pPr>
        <w:pStyle w:val="Compact"/>
        <w:numPr>
          <w:ilvl w:val="0"/>
          <w:numId w:val="1006"/>
        </w:numPr>
      </w:pPr>
      <w:r>
        <w:t xml:space="preserve">ACM Transactions on Intelligent Systems and Technology</w:t>
      </w:r>
    </w:p>
    <w:p>
      <w:r>
        <w:pict>
          <v:rect style="width:0;height:1.5pt" o:hralign="center" o:hrstd="t" o:hr="t"/>
        </w:pict>
      </w:r>
    </w:p>
    <w:bookmarkEnd w:id="59"/>
    <w:bookmarkEnd w:id="60"/>
    <w:bookmarkStart w:id="61" w:name="document-metadata"/>
    <w:p>
      <w:pPr>
        <w:pStyle w:val="Heading2"/>
      </w:pPr>
      <w:r>
        <w:t xml:space="preserve">Document Metadata</w:t>
      </w:r>
    </w:p>
    <w:p>
      <w:pPr>
        <w:pStyle w:val="FirstParagraph"/>
      </w:pPr>
      <w:r>
        <w:rPr>
          <w:b/>
          <w:bCs/>
        </w:rPr>
        <w:t xml:space="preserve">Compiled By:</w:t>
      </w:r>
      <w:r>
        <w:t xml:space="preserve"> </w:t>
      </w:r>
      <w:r>
        <w:t xml:space="preserve">[Your Name/Organization]</w:t>
      </w:r>
      <w:r>
        <w:br/>
      </w:r>
      <w:r>
        <w:rPr>
          <w:b/>
          <w:bCs/>
        </w:rPr>
        <w:t xml:space="preserve">Date:</w:t>
      </w:r>
      <w:r>
        <w:t xml:space="preserve"> </w:t>
      </w:r>
      <w:r>
        <w:t xml:space="preserve">November 28, 2025</w:t>
      </w:r>
      <w:r>
        <w:br/>
      </w:r>
      <w:r>
        <w:rPr>
          <w:b/>
          <w:bCs/>
        </w:rPr>
        <w:t xml:space="preserve">Version:</w:t>
      </w:r>
      <w:r>
        <w:t xml:space="preserve"> </w:t>
      </w:r>
      <w:r>
        <w:t xml:space="preserve">1.0</w:t>
      </w:r>
      <w:r>
        <w:br/>
      </w:r>
      <w:r>
        <w:rPr>
          <w:b/>
          <w:bCs/>
        </w:rPr>
        <w:t xml:space="preserve">Last Updated:</w:t>
      </w:r>
      <w:r>
        <w:t xml:space="preserve"> </w:t>
      </w:r>
      <w:r>
        <w:t xml:space="preserve">November 28, 2025</w:t>
      </w:r>
      <w:r>
        <w:br/>
      </w:r>
      <w:r>
        <w:rPr>
          <w:b/>
          <w:bCs/>
        </w:rPr>
        <w:t xml:space="preserve">Next Review:</w:t>
      </w:r>
      <w:r>
        <w:t xml:space="preserve"> </w:t>
      </w:r>
      <w:r>
        <w:t xml:space="preserve">February 28, 2026</w:t>
      </w:r>
    </w:p>
    <w:p>
      <w:r>
        <w:pict>
          <v:rect style="width:0;height:1.5pt" o:hralign="center" o:hrstd="t" o:hr="t"/>
        </w:pict>
      </w:r>
    </w:p>
    <w:bookmarkEnd w:id="61"/>
    <w:bookmarkStart w:id="62" w:name="notes-on-reference-usage"/>
    <w:p>
      <w:pPr>
        <w:pStyle w:val="Heading2"/>
      </w:pPr>
      <w:r>
        <w:t xml:space="preserve">Notes on Reference Usage</w:t>
      </w:r>
    </w:p>
    <w:p>
      <w:pPr>
        <w:pStyle w:val="FirstParagraph"/>
      </w:pPr>
      <w:r>
        <w:t xml:space="preserve">This reference list supports the following documents:</w:t>
      </w:r>
      <w:r>
        <w:t xml:space="preserve"> </w:t>
      </w:r>
      <w:r>
        <w:t xml:space="preserve">1.</w:t>
      </w:r>
      <w:r>
        <w:t xml:space="preserve"> </w:t>
      </w:r>
      <w:r>
        <w:rPr>
          <w:b/>
          <w:bCs/>
        </w:rPr>
        <w:t xml:space="preserve">Validation Report</w:t>
      </w:r>
      <w:r>
        <w:t xml:space="preserve"> </w:t>
      </w:r>
      <w:r>
        <w:t xml:space="preserve">- Technical references for model architecture, evaluation metrics, and performance standards</w:t>
      </w:r>
      <w:r>
        <w:t xml:space="preserve"> </w:t>
      </w:r>
      <w:r>
        <w:t xml:space="preserve">2.</w:t>
      </w:r>
      <w:r>
        <w:t xml:space="preserve"> </w:t>
      </w:r>
      <w:r>
        <w:rPr>
          <w:b/>
          <w:bCs/>
        </w:rPr>
        <w:t xml:space="preserve">Risk Mitigation Strategy</w:t>
      </w:r>
      <w:r>
        <w:t xml:space="preserve"> </w:t>
      </w:r>
      <w:r>
        <w:t xml:space="preserve">- Risk management frameworks, security standards, and governance best practices</w:t>
      </w:r>
      <w:r>
        <w:t xml:space="preserve"> </w:t>
      </w:r>
      <w:r>
        <w:t xml:space="preserve">3.</w:t>
      </w:r>
      <w:r>
        <w:t xml:space="preserve"> </w:t>
      </w:r>
      <w:r>
        <w:rPr>
          <w:b/>
          <w:bCs/>
        </w:rPr>
        <w:t xml:space="preserve">Legal Compliance Checklist</w:t>
      </w:r>
      <w:r>
        <w:t xml:space="preserve"> </w:t>
      </w:r>
      <w:r>
        <w:t xml:space="preserve">- Regulatory requirements, privacy laws, carbon credit regulations, and compliance standards</w:t>
      </w:r>
    </w:p>
    <w:p>
      <w:pPr>
        <w:pStyle w:val="BodyText"/>
      </w:pPr>
      <w:r>
        <w:rPr>
          <w:b/>
          <w:bCs/>
        </w:rPr>
        <w:t xml:space="preserve">Deployment Scope:</w:t>
      </w:r>
      <w:r>
        <w:t xml:space="preserve"> </w:t>
      </w:r>
      <w:r>
        <w:t xml:space="preserve">This AI system is designed for deployment exclusively within New Zealand. International regulations (GDPR, CCPA, EU AI Act, etc.) are included for reference only and are not applicable to NZ-only operations. Primary compliance focus is on:</w:t>
      </w:r>
      <w:r>
        <w:t xml:space="preserve"> </w:t>
      </w:r>
      <w:r>
        <w:t xml:space="preserve">- New Zealand Privacy Act 2020</w:t>
      </w:r>
      <w:r>
        <w:t xml:space="preserve"> </w:t>
      </w:r>
      <w:r>
        <w:t xml:space="preserve">- NZ Emissions Trading Scheme (ETS)</w:t>
      </w:r>
      <w:r>
        <w:t xml:space="preserve"> </w:t>
      </w:r>
      <w:r>
        <w:t xml:space="preserve">- Climate Change Response Act 2002</w:t>
      </w:r>
      <w:r>
        <w:t xml:space="preserve"> </w:t>
      </w:r>
      <w:r>
        <w:t xml:space="preserve">- New Zealand Algorithm Charter (voluntary)</w:t>
      </w:r>
      <w:r>
        <w:t xml:space="preserve"> </w:t>
      </w:r>
      <w:r>
        <w:t xml:space="preserve">- NZ cybersecurity standards (Essential 8, CERT NZ)</w:t>
      </w:r>
    </w:p>
    <w:p>
      <w:pPr>
        <w:pStyle w:val="BodyText"/>
      </w:pPr>
      <w:r>
        <w:rPr>
          <w:b/>
          <w:bCs/>
        </w:rPr>
        <w:t xml:space="preserve">Disclaimer:</w:t>
      </w:r>
      <w:r>
        <w:t xml:space="preserve"> </w:t>
      </w:r>
      <w:r>
        <w:t xml:space="preserve">While every effort has been made to ensure accuracy, regulations and standards evolve. Always verify current requirements with official sources and legal counsel before making compliance decisions. If expanding internationally in the future, consult the international references and engage local legal counsel in target jurisdictions.</w:t>
      </w:r>
    </w:p>
    <w:p>
      <w:r>
        <w:pict>
          <v:rect style="width:0;height:1.5pt" o:hralign="center" o:hrstd="t" o:hr="t"/>
        </w:pict>
      </w:r>
    </w:p>
    <w:p>
      <w:pPr>
        <w:pStyle w:val="FirstParagraph"/>
      </w:pPr>
      <w:r>
        <w:rPr>
          <w:b/>
          <w:bCs/>
        </w:rPr>
        <w:t xml:space="preserve">END OF REFERENCES</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2025-11-30T01:45:42Z</dcterms:created>
  <dcterms:modified xsi:type="dcterms:W3CDTF">2025-11-30T01:45:42Z</dcterms:modified>
</cp:coreProperties>
</file>

<file path=docProps/custom.xml><?xml version="1.0" encoding="utf-8"?>
<Properties xmlns="http://schemas.openxmlformats.org/officeDocument/2006/custom-properties" xmlns:vt="http://schemas.openxmlformats.org/officeDocument/2006/docPropsVTypes"/>
</file>