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313543658817ec5995e14b66cee50f94302d36c"/>
    <w:p>
      <w:pPr>
        <w:pStyle w:val="Heading1"/>
      </w:pPr>
      <w:r>
        <w:t xml:space="preserve">Risk Mitigation Strategy - Carbon Credit Eligibility AI</w:t>
      </w:r>
    </w:p>
    <w:bookmarkStart w:id="9" w:name="document-control"/>
    <w:p>
      <w:pPr>
        <w:pStyle w:val="Heading2"/>
      </w:pPr>
      <w:r>
        <w:t xml:space="preserve">Document Control</w:t>
      </w:r>
    </w:p>
    <w:p>
      <w:pPr>
        <w:pStyle w:val="FirstParagraph"/>
      </w:pPr>
      <w:r>
        <w:rPr>
          <w:b/>
          <w:bCs/>
        </w:rPr>
        <w:t xml:space="preserve">Version:</w:t>
      </w:r>
      <w:r>
        <w:t xml:space="preserve"> </w:t>
      </w:r>
      <w:r>
        <w:t xml:space="preserve">1.0</w:t>
      </w:r>
      <w:r>
        <w:br/>
      </w:r>
      <w:r>
        <w:rPr>
          <w:b/>
          <w:bCs/>
        </w:rPr>
        <w:t xml:space="preserve">Date:</w:t>
      </w:r>
      <w:r>
        <w:t xml:space="preserve"> </w:t>
      </w:r>
      <w:r>
        <w:t xml:space="preserve">November 28, 2025</w:t>
      </w:r>
      <w:r>
        <w:br/>
      </w:r>
      <w:r>
        <w:rPr>
          <w:b/>
          <w:bCs/>
        </w:rPr>
        <w:t xml:space="preserve">Deployment Scope:</w:t>
      </w:r>
      <w:r>
        <w:t xml:space="preserve"> </w:t>
      </w:r>
      <w:r>
        <w:t xml:space="preserve">New Zealand Only</w:t>
      </w:r>
      <w:r>
        <w:br/>
      </w:r>
      <w:r>
        <w:rPr>
          <w:b/>
          <w:bCs/>
        </w:rPr>
        <w:t xml:space="preserve">Review Frequency:</w:t>
      </w:r>
      <w:r>
        <w:t xml:space="preserve"> </w:t>
      </w:r>
      <w:r>
        <w:t xml:space="preserve">Quarterly</w:t>
      </w:r>
      <w:r>
        <w:br/>
      </w:r>
      <w:r>
        <w:rPr>
          <w:b/>
          <w:bCs/>
        </w:rPr>
        <w:t xml:space="preserve">Owner:</w:t>
      </w:r>
      <w:r>
        <w:t xml:space="preserve"> </w:t>
      </w:r>
      <w:r>
        <w:t xml:space="preserve">[Organization/Team Name]</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This document outlines the comprehensive risk mitigation strategy for deploying the Carbon Credit Eligibility AI system within New Zealand. It identifies potential risks, their impact, likelihood, and specific mitigation measures to ensure safe, reliable, and compliant operation in accordance with New Zealand regulations and the NZ Emissions Trading Scheme (ETS).</w:t>
      </w:r>
    </w:p>
    <w:p>
      <w:r>
        <w:pict>
          <v:rect style="width:0;height:1.5pt" o:hralign="center" o:hrstd="t" o:hr="t"/>
        </w:pict>
      </w:r>
    </w:p>
    <w:bookmarkEnd w:id="10"/>
    <w:bookmarkStart w:id="20" w:name="technical-risks"/>
    <w:p>
      <w:pPr>
        <w:pStyle w:val="Heading2"/>
      </w:pPr>
      <w:r>
        <w:t xml:space="preserve">1. Technical Risks</w:t>
      </w:r>
    </w:p>
    <w:bookmarkStart w:id="13" w:name="model-accuracy-performance-risks"/>
    <w:p>
      <w:pPr>
        <w:pStyle w:val="Heading3"/>
      </w:pPr>
      <w:r>
        <w:t xml:space="preserve">1.1 Model Accuracy &amp; Performance Risks</w:t>
      </w:r>
    </w:p>
    <w:bookmarkStart w:id="11" w:name="X01c34eed249a5be7ba92ad047ba350ce72b5e19"/>
    <w:p>
      <w:pPr>
        <w:pStyle w:val="Heading4"/>
      </w:pPr>
      <w:r>
        <w:t xml:space="preserve">Risk: Incorrect Eligibility Classification</w:t>
      </w:r>
    </w:p>
    <w:p>
      <w:pPr>
        <w:pStyle w:val="Compact"/>
        <w:numPr>
          <w:ilvl w:val="0"/>
          <w:numId w:val="1001"/>
        </w:numPr>
      </w:pPr>
      <w:r>
        <w:rPr>
          <w:b/>
          <w:bCs/>
        </w:rPr>
        <w:t xml:space="preserve">Impact:</w:t>
      </w:r>
      <w:r>
        <w:t xml:space="preserve"> </w:t>
      </w:r>
      <w:r>
        <w:t xml:space="preserve">HIGH - Financial loss, compliance issues, reputational damage</w:t>
      </w:r>
    </w:p>
    <w:p>
      <w:pPr>
        <w:pStyle w:val="Compact"/>
        <w:numPr>
          <w:ilvl w:val="0"/>
          <w:numId w:val="1001"/>
        </w:numPr>
      </w:pPr>
      <w:r>
        <w:rPr>
          <w:b/>
          <w:bCs/>
        </w:rPr>
        <w:t xml:space="preserve">Likelihood:</w:t>
      </w:r>
      <w:r>
        <w:t xml:space="preserve"> </w:t>
      </w:r>
      <w:r>
        <w:t xml:space="preserve">MEDIUM - Model accuracy ~85-90%, inherent uncertainty in some cases</w:t>
      </w:r>
    </w:p>
    <w:p>
      <w:pPr>
        <w:pStyle w:val="Compact"/>
        <w:numPr>
          <w:ilvl w:val="0"/>
          <w:numId w:val="1001"/>
        </w:numPr>
      </w:pPr>
      <w:r>
        <w:rPr>
          <w:b/>
          <w:bCs/>
        </w:rPr>
        <w:t xml:space="preserve">Risk Score:</w:t>
      </w:r>
      <w:r>
        <w:t xml:space="preserve"> </w:t>
      </w:r>
      <w:r>
        <w:t xml:space="preserve">HIGH</w:t>
      </w:r>
    </w:p>
    <w:p>
      <w:pPr>
        <w:pStyle w:val="FirstParagraph"/>
      </w:pPr>
      <w:r>
        <w:rPr>
          <w:b/>
          <w:bCs/>
        </w:rPr>
        <w:t xml:space="preserve">Mitigation Measures:</w:t>
      </w:r>
      <w:r>
        <w:t xml:space="preserve"> </w:t>
      </w:r>
      <w:r>
        <w:t xml:space="preserve">1.</w:t>
      </w:r>
      <w:r>
        <w:t xml:space="preserve"> </w:t>
      </w:r>
      <w:r>
        <w:rPr>
          <w:b/>
          <w:bCs/>
        </w:rPr>
        <w:t xml:space="preserve">Confidence Thresholds</w:t>
      </w:r>
      <w:r>
        <w:t xml:space="preserve"> </w:t>
      </w:r>
      <w:r>
        <w:t xml:space="preserve">- Auto-approve only predictions with &gt;90% confidence</w:t>
      </w:r>
      <w:r>
        <w:t xml:space="preserve"> </w:t>
      </w:r>
      <w:r>
        <w:t xml:space="preserve">- Flag 70-90% confidence for rapid review</w:t>
      </w:r>
      <w:r>
        <w:t xml:space="preserve"> </w:t>
      </w:r>
      <w:r>
        <w:t xml:space="preserve">- Require manual expert review for &lt;70% confidence</w:t>
      </w:r>
    </w:p>
    <w:p>
      <w:pPr>
        <w:pStyle w:val="Compact"/>
        <w:numPr>
          <w:ilvl w:val="0"/>
          <w:numId w:val="1002"/>
        </w:numPr>
      </w:pPr>
      <w:r>
        <w:rPr>
          <w:b/>
          <w:bCs/>
        </w:rPr>
        <w:t xml:space="preserve">Human-in-the-Loop (HITL)</w:t>
      </w:r>
    </w:p>
    <w:p>
      <w:pPr>
        <w:pStyle w:val="Compact"/>
        <w:numPr>
          <w:ilvl w:val="1"/>
          <w:numId w:val="1003"/>
        </w:numPr>
      </w:pPr>
      <w:r>
        <w:t xml:space="preserve">All predictions in first 3 months reviewed by experts</w:t>
      </w:r>
    </w:p>
    <w:p>
      <w:pPr>
        <w:pStyle w:val="Compact"/>
        <w:numPr>
          <w:ilvl w:val="1"/>
          <w:numId w:val="1003"/>
        </w:numPr>
      </w:pPr>
      <w:r>
        <w:t xml:space="preserve">Random sampling (10%) of high-confidence predictions for ongoing QA</w:t>
      </w:r>
    </w:p>
    <w:p>
      <w:pPr>
        <w:pStyle w:val="Compact"/>
        <w:numPr>
          <w:ilvl w:val="1"/>
          <w:numId w:val="1003"/>
        </w:numPr>
      </w:pPr>
      <w:r>
        <w:t xml:space="preserve">Expert override capability always available</w:t>
      </w:r>
    </w:p>
    <w:p>
      <w:pPr>
        <w:pStyle w:val="Compact"/>
        <w:numPr>
          <w:ilvl w:val="0"/>
          <w:numId w:val="1002"/>
        </w:numPr>
      </w:pPr>
      <w:r>
        <w:rPr>
          <w:b/>
          <w:bCs/>
        </w:rPr>
        <w:t xml:space="preserve">Performance Monitoring</w:t>
      </w:r>
    </w:p>
    <w:p>
      <w:pPr>
        <w:pStyle w:val="Compact"/>
        <w:numPr>
          <w:ilvl w:val="1"/>
          <w:numId w:val="1004"/>
        </w:numPr>
      </w:pPr>
      <w:r>
        <w:t xml:space="preserve">Real-time accuracy tracking per region</w:t>
      </w:r>
    </w:p>
    <w:p>
      <w:pPr>
        <w:pStyle w:val="Compact"/>
        <w:numPr>
          <w:ilvl w:val="1"/>
          <w:numId w:val="1004"/>
        </w:numPr>
      </w:pPr>
      <w:r>
        <w:t xml:space="preserve">Automated alerts for accuracy drops below thresholds</w:t>
      </w:r>
    </w:p>
    <w:p>
      <w:pPr>
        <w:pStyle w:val="Compact"/>
        <w:numPr>
          <w:ilvl w:val="1"/>
          <w:numId w:val="1004"/>
        </w:numPr>
      </w:pPr>
      <w:r>
        <w:t xml:space="preserve">Weekly performance reports to stakeholders</w:t>
      </w:r>
    </w:p>
    <w:p>
      <w:pPr>
        <w:pStyle w:val="Compact"/>
        <w:numPr>
          <w:ilvl w:val="0"/>
          <w:numId w:val="1002"/>
        </w:numPr>
      </w:pPr>
      <w:r>
        <w:rPr>
          <w:b/>
          <w:bCs/>
        </w:rPr>
        <w:t xml:space="preserve">Regular Model Retraining</w:t>
      </w:r>
    </w:p>
    <w:p>
      <w:pPr>
        <w:pStyle w:val="Compact"/>
        <w:numPr>
          <w:ilvl w:val="1"/>
          <w:numId w:val="1005"/>
        </w:numPr>
      </w:pPr>
      <w:r>
        <w:t xml:space="preserve">Quarterly retraining with new validated data</w:t>
      </w:r>
    </w:p>
    <w:p>
      <w:pPr>
        <w:pStyle w:val="Compact"/>
        <w:numPr>
          <w:ilvl w:val="1"/>
          <w:numId w:val="1005"/>
        </w:numPr>
      </w:pPr>
      <w:r>
        <w:t xml:space="preserve">A/B testing before deploying updated models</w:t>
      </w:r>
    </w:p>
    <w:p>
      <w:pPr>
        <w:pStyle w:val="Compact"/>
        <w:numPr>
          <w:ilvl w:val="1"/>
          <w:numId w:val="1005"/>
        </w:numPr>
      </w:pPr>
      <w:r>
        <w:t xml:space="preserve">Rollback procedures if new model underperforms</w:t>
      </w:r>
    </w:p>
    <w:p>
      <w:r>
        <w:pict>
          <v:rect style="width:0;height:1.5pt" o:hralign="center" o:hrstd="t" o:hr="t"/>
        </w:pict>
      </w:r>
    </w:p>
    <w:bookmarkEnd w:id="11"/>
    <w:bookmarkStart w:id="12" w:name="risk-model-degradation-over-time"/>
    <w:p>
      <w:pPr>
        <w:pStyle w:val="Heading4"/>
      </w:pPr>
      <w:r>
        <w:t xml:space="preserve">Risk: Model Degradation Over Time</w:t>
      </w:r>
    </w:p>
    <w:p>
      <w:pPr>
        <w:pStyle w:val="Compact"/>
        <w:numPr>
          <w:ilvl w:val="0"/>
          <w:numId w:val="1006"/>
        </w:numPr>
      </w:pPr>
      <w:r>
        <w:rPr>
          <w:b/>
          <w:bCs/>
        </w:rPr>
        <w:t xml:space="preserve">Impact:</w:t>
      </w:r>
      <w:r>
        <w:t xml:space="preserve"> </w:t>
      </w:r>
      <w:r>
        <w:t xml:space="preserve">MEDIUM - Gradual accuracy decline</w:t>
      </w:r>
    </w:p>
    <w:p>
      <w:pPr>
        <w:pStyle w:val="Compact"/>
        <w:numPr>
          <w:ilvl w:val="0"/>
          <w:numId w:val="1006"/>
        </w:numPr>
      </w:pPr>
      <w:r>
        <w:rPr>
          <w:b/>
          <w:bCs/>
        </w:rPr>
        <w:t xml:space="preserve">Likelihood:</w:t>
      </w:r>
      <w:r>
        <w:t xml:space="preserve"> </w:t>
      </w:r>
      <w:r>
        <w:t xml:space="preserve">MEDIUM - Natural drift as landscape changes</w:t>
      </w:r>
    </w:p>
    <w:p>
      <w:pPr>
        <w:pStyle w:val="Compact"/>
        <w:numPr>
          <w:ilvl w:val="0"/>
          <w:numId w:val="1006"/>
        </w:numPr>
      </w:pPr>
      <w:r>
        <w:rPr>
          <w:b/>
          <w:bCs/>
        </w:rPr>
        <w:t xml:space="preserve">Risk Score:</w:t>
      </w:r>
      <w:r>
        <w:t xml:space="preserve"> </w:t>
      </w:r>
      <w:r>
        <w:t xml:space="preserve">MEDIUM</w:t>
      </w:r>
    </w:p>
    <w:p>
      <w:pPr>
        <w:pStyle w:val="FirstParagraph"/>
      </w:pPr>
      <w:r>
        <w:rPr>
          <w:b/>
          <w:bCs/>
        </w:rPr>
        <w:t xml:space="preserve">Mitigation Measures:</w:t>
      </w:r>
      <w:r>
        <w:t xml:space="preserve"> </w:t>
      </w:r>
      <w:r>
        <w:t xml:space="preserve">1.</w:t>
      </w:r>
      <w:r>
        <w:t xml:space="preserve"> </w:t>
      </w:r>
      <w:r>
        <w:rPr>
          <w:b/>
          <w:bCs/>
        </w:rPr>
        <w:t xml:space="preserve">Continuous Monitoring</w:t>
      </w:r>
      <w:r>
        <w:t xml:space="preserve"> </w:t>
      </w:r>
      <w:r>
        <w:t xml:space="preserve">- Track prediction distribution over time</w:t>
      </w:r>
      <w:r>
        <w:t xml:space="preserve"> </w:t>
      </w:r>
      <w:r>
        <w:t xml:space="preserve">- Detect distribution drift automatically</w:t>
      </w:r>
      <w:r>
        <w:t xml:space="preserve"> </w:t>
      </w:r>
      <w:r>
        <w:t xml:space="preserve">- Compare current vs. historical performance metrics</w:t>
      </w:r>
    </w:p>
    <w:p>
      <w:pPr>
        <w:pStyle w:val="Compact"/>
        <w:numPr>
          <w:ilvl w:val="0"/>
          <w:numId w:val="1007"/>
        </w:numPr>
      </w:pPr>
      <w:r>
        <w:rPr>
          <w:b/>
          <w:bCs/>
        </w:rPr>
        <w:t xml:space="preserve">Feedback Loop</w:t>
      </w:r>
    </w:p>
    <w:p>
      <w:pPr>
        <w:pStyle w:val="Compact"/>
        <w:numPr>
          <w:ilvl w:val="1"/>
          <w:numId w:val="1008"/>
        </w:numPr>
      </w:pPr>
      <w:r>
        <w:t xml:space="preserve">Collect ground truth data from manual reviews</w:t>
      </w:r>
    </w:p>
    <w:p>
      <w:pPr>
        <w:pStyle w:val="Compact"/>
        <w:numPr>
          <w:ilvl w:val="1"/>
          <w:numId w:val="1008"/>
        </w:numPr>
      </w:pPr>
      <w:r>
        <w:t xml:space="preserve">Flag systematic errors for investigation</w:t>
      </w:r>
    </w:p>
    <w:p>
      <w:pPr>
        <w:pStyle w:val="Compact"/>
        <w:numPr>
          <w:ilvl w:val="1"/>
          <w:numId w:val="1008"/>
        </w:numPr>
      </w:pPr>
      <w:r>
        <w:t xml:space="preserve">Incorporate corrections into retraining pipeline</w:t>
      </w:r>
    </w:p>
    <w:p>
      <w:pPr>
        <w:pStyle w:val="Compact"/>
        <w:numPr>
          <w:ilvl w:val="0"/>
          <w:numId w:val="1007"/>
        </w:numPr>
      </w:pPr>
      <w:r>
        <w:rPr>
          <w:b/>
          <w:bCs/>
        </w:rPr>
        <w:t xml:space="preserve">Version Control</w:t>
      </w:r>
    </w:p>
    <w:p>
      <w:pPr>
        <w:pStyle w:val="Compact"/>
        <w:numPr>
          <w:ilvl w:val="1"/>
          <w:numId w:val="1009"/>
        </w:numPr>
      </w:pPr>
      <w:r>
        <w:t xml:space="preserve">Maintain model version history</w:t>
      </w:r>
    </w:p>
    <w:p>
      <w:pPr>
        <w:pStyle w:val="Compact"/>
        <w:numPr>
          <w:ilvl w:val="1"/>
          <w:numId w:val="1009"/>
        </w:numPr>
      </w:pPr>
      <w:r>
        <w:t xml:space="preserve">Document performance of each version</w:t>
      </w:r>
    </w:p>
    <w:p>
      <w:pPr>
        <w:pStyle w:val="Compact"/>
        <w:numPr>
          <w:ilvl w:val="1"/>
          <w:numId w:val="1009"/>
        </w:numPr>
      </w:pPr>
      <w:r>
        <w:t xml:space="preserve">Ability to revert to previous stable versions</w:t>
      </w:r>
    </w:p>
    <w:p>
      <w:r>
        <w:pict>
          <v:rect style="width:0;height:1.5pt" o:hralign="center" o:hrstd="t" o:hr="t"/>
        </w:pict>
      </w:r>
    </w:p>
    <w:bookmarkEnd w:id="12"/>
    <w:bookmarkEnd w:id="13"/>
    <w:bookmarkStart w:id="16" w:name="system-infrastructure-risks"/>
    <w:p>
      <w:pPr>
        <w:pStyle w:val="Heading3"/>
      </w:pPr>
      <w:r>
        <w:t xml:space="preserve">1.2 System &amp; Infrastructure Risks</w:t>
      </w:r>
    </w:p>
    <w:bookmarkStart w:id="14" w:name="risk-system-downtime-or-failure"/>
    <w:p>
      <w:pPr>
        <w:pStyle w:val="Heading4"/>
      </w:pPr>
      <w:r>
        <w:t xml:space="preserve">Risk: System Downtime or Failure</w:t>
      </w:r>
    </w:p>
    <w:p>
      <w:pPr>
        <w:pStyle w:val="Compact"/>
        <w:numPr>
          <w:ilvl w:val="0"/>
          <w:numId w:val="1010"/>
        </w:numPr>
      </w:pPr>
      <w:r>
        <w:rPr>
          <w:b/>
          <w:bCs/>
        </w:rPr>
        <w:t xml:space="preserve">Impact:</w:t>
      </w:r>
      <w:r>
        <w:t xml:space="preserve"> </w:t>
      </w:r>
      <w:r>
        <w:t xml:space="preserve">MEDIUM - Service interruption</w:t>
      </w:r>
    </w:p>
    <w:p>
      <w:pPr>
        <w:pStyle w:val="Compact"/>
        <w:numPr>
          <w:ilvl w:val="0"/>
          <w:numId w:val="1010"/>
        </w:numPr>
      </w:pPr>
      <w:r>
        <w:rPr>
          <w:b/>
          <w:bCs/>
        </w:rPr>
        <w:t xml:space="preserve">Likelihood:</w:t>
      </w:r>
      <w:r>
        <w:t xml:space="preserve"> </w:t>
      </w:r>
      <w:r>
        <w:t xml:space="preserve">LOW - With proper infrastructure</w:t>
      </w:r>
    </w:p>
    <w:p>
      <w:pPr>
        <w:pStyle w:val="Compact"/>
        <w:numPr>
          <w:ilvl w:val="0"/>
          <w:numId w:val="1010"/>
        </w:numPr>
      </w:pPr>
      <w:r>
        <w:rPr>
          <w:b/>
          <w:bCs/>
        </w:rPr>
        <w:t xml:space="preserve">Risk Score:</w:t>
      </w:r>
      <w:r>
        <w:t xml:space="preserve"> </w:t>
      </w:r>
      <w:r>
        <w:t xml:space="preserve">LOW-MEDIUM</w:t>
      </w:r>
    </w:p>
    <w:p>
      <w:pPr>
        <w:pStyle w:val="FirstParagraph"/>
      </w:pPr>
      <w:r>
        <w:rPr>
          <w:b/>
          <w:bCs/>
        </w:rPr>
        <w:t xml:space="preserve">Mitigation Measures:</w:t>
      </w:r>
      <w:r>
        <w:t xml:space="preserve"> </w:t>
      </w:r>
      <w:r>
        <w:t xml:space="preserve">1.</w:t>
      </w:r>
      <w:r>
        <w:t xml:space="preserve"> </w:t>
      </w:r>
      <w:r>
        <w:rPr>
          <w:b/>
          <w:bCs/>
        </w:rPr>
        <w:t xml:space="preserve">Redundancy</w:t>
      </w:r>
      <w:r>
        <w:t xml:space="preserve"> </w:t>
      </w:r>
      <w:r>
        <w:t xml:space="preserve">- Multi-instance deployment across availability zones</w:t>
      </w:r>
      <w:r>
        <w:t xml:space="preserve"> </w:t>
      </w:r>
      <w:r>
        <w:t xml:space="preserve">- Load balancing for high availability</w:t>
      </w:r>
      <w:r>
        <w:t xml:space="preserve"> </w:t>
      </w:r>
      <w:r>
        <w:t xml:space="preserve">- Automatic failover mechanisms</w:t>
      </w:r>
    </w:p>
    <w:p>
      <w:pPr>
        <w:pStyle w:val="Compact"/>
        <w:numPr>
          <w:ilvl w:val="0"/>
          <w:numId w:val="1011"/>
        </w:numPr>
      </w:pPr>
      <w:r>
        <w:rPr>
          <w:b/>
          <w:bCs/>
        </w:rPr>
        <w:t xml:space="preserve">Backup &amp; Recovery</w:t>
      </w:r>
    </w:p>
    <w:p>
      <w:pPr>
        <w:pStyle w:val="Compact"/>
        <w:numPr>
          <w:ilvl w:val="1"/>
          <w:numId w:val="1012"/>
        </w:numPr>
      </w:pPr>
      <w:r>
        <w:t xml:space="preserve">Automated daily backups of model and data</w:t>
      </w:r>
    </w:p>
    <w:p>
      <w:pPr>
        <w:pStyle w:val="Compact"/>
        <w:numPr>
          <w:ilvl w:val="1"/>
          <w:numId w:val="1012"/>
        </w:numPr>
      </w:pPr>
      <w:r>
        <w:t xml:space="preserve">Disaster recovery plan with 4-hour RTO</w:t>
      </w:r>
    </w:p>
    <w:p>
      <w:pPr>
        <w:pStyle w:val="Compact"/>
        <w:numPr>
          <w:ilvl w:val="1"/>
          <w:numId w:val="1012"/>
        </w:numPr>
      </w:pPr>
      <w:r>
        <w:t xml:space="preserve">Regular disaster recovery drills</w:t>
      </w:r>
    </w:p>
    <w:p>
      <w:pPr>
        <w:pStyle w:val="Compact"/>
        <w:numPr>
          <w:ilvl w:val="0"/>
          <w:numId w:val="1011"/>
        </w:numPr>
      </w:pPr>
      <w:r>
        <w:rPr>
          <w:b/>
          <w:bCs/>
        </w:rPr>
        <w:t xml:space="preserve">Monitoring &amp; Alerts</w:t>
      </w:r>
    </w:p>
    <w:p>
      <w:pPr>
        <w:pStyle w:val="Compact"/>
        <w:numPr>
          <w:ilvl w:val="1"/>
          <w:numId w:val="1013"/>
        </w:numPr>
      </w:pPr>
      <w:r>
        <w:t xml:space="preserve">24/7 system health monitoring</w:t>
      </w:r>
    </w:p>
    <w:p>
      <w:pPr>
        <w:pStyle w:val="Compact"/>
        <w:numPr>
          <w:ilvl w:val="1"/>
          <w:numId w:val="1013"/>
        </w:numPr>
      </w:pPr>
      <w:r>
        <w:t xml:space="preserve">Automated alerts for performance degradation</w:t>
      </w:r>
    </w:p>
    <w:p>
      <w:pPr>
        <w:pStyle w:val="Compact"/>
        <w:numPr>
          <w:ilvl w:val="1"/>
          <w:numId w:val="1013"/>
        </w:numPr>
      </w:pPr>
      <w:r>
        <w:t xml:space="preserve">On-call rotation for critical issues</w:t>
      </w:r>
    </w:p>
    <w:p>
      <w:r>
        <w:pict>
          <v:rect style="width:0;height:1.5pt" o:hralign="center" o:hrstd="t" o:hr="t"/>
        </w:pict>
      </w:r>
    </w:p>
    <w:bookmarkEnd w:id="14"/>
    <w:bookmarkStart w:id="15" w:name="Xd271e3ed61e8fcbf486c32dc111c3f8a04094e5"/>
    <w:p>
      <w:pPr>
        <w:pStyle w:val="Heading4"/>
      </w:pPr>
      <w:r>
        <w:t xml:space="preserve">Risk: Processing Bottlenecks or Scalability Issues</w:t>
      </w:r>
    </w:p>
    <w:p>
      <w:pPr>
        <w:pStyle w:val="Compact"/>
        <w:numPr>
          <w:ilvl w:val="0"/>
          <w:numId w:val="1014"/>
        </w:numPr>
      </w:pPr>
      <w:r>
        <w:rPr>
          <w:b/>
          <w:bCs/>
        </w:rPr>
        <w:t xml:space="preserve">Impact:</w:t>
      </w:r>
      <w:r>
        <w:t xml:space="preserve"> </w:t>
      </w:r>
      <w:r>
        <w:t xml:space="preserve">MEDIUM - Delayed assessments, customer dissatisfaction</w:t>
      </w:r>
    </w:p>
    <w:p>
      <w:pPr>
        <w:pStyle w:val="Compact"/>
        <w:numPr>
          <w:ilvl w:val="0"/>
          <w:numId w:val="1014"/>
        </w:numPr>
      </w:pPr>
      <w:r>
        <w:rPr>
          <w:b/>
          <w:bCs/>
        </w:rPr>
        <w:t xml:space="preserve">Likelihood:</w:t>
      </w:r>
      <w:r>
        <w:t xml:space="preserve"> </w:t>
      </w:r>
      <w:r>
        <w:t xml:space="preserve">MEDIUM - During peak usage periods</w:t>
      </w:r>
    </w:p>
    <w:p>
      <w:pPr>
        <w:pStyle w:val="Compact"/>
        <w:numPr>
          <w:ilvl w:val="0"/>
          <w:numId w:val="1014"/>
        </w:numPr>
      </w:pPr>
      <w:r>
        <w:rPr>
          <w:b/>
          <w:bCs/>
        </w:rPr>
        <w:t xml:space="preserve">Risk Score:</w:t>
      </w:r>
      <w:r>
        <w:t xml:space="preserve"> </w:t>
      </w:r>
      <w:r>
        <w:t xml:space="preserve">MEDIUM</w:t>
      </w:r>
    </w:p>
    <w:p>
      <w:pPr>
        <w:pStyle w:val="FirstParagraph"/>
      </w:pPr>
      <w:r>
        <w:rPr>
          <w:b/>
          <w:bCs/>
        </w:rPr>
        <w:t xml:space="preserve">Mitigation Measures:</w:t>
      </w:r>
      <w:r>
        <w:t xml:space="preserve"> </w:t>
      </w:r>
      <w:r>
        <w:t xml:space="preserve">1.</w:t>
      </w:r>
      <w:r>
        <w:t xml:space="preserve"> </w:t>
      </w:r>
      <w:r>
        <w:rPr>
          <w:b/>
          <w:bCs/>
        </w:rPr>
        <w:t xml:space="preserve">Capacity Planning</w:t>
      </w:r>
      <w:r>
        <w:t xml:space="preserve"> </w:t>
      </w:r>
      <w:r>
        <w:t xml:space="preserve">- Baseline: 10,000 assessments/day capacity</w:t>
      </w:r>
      <w:r>
        <w:t xml:space="preserve"> </w:t>
      </w:r>
      <w:r>
        <w:t xml:space="preserve">- Auto-scaling triggers at 70% capacity</w:t>
      </w:r>
      <w:r>
        <w:t xml:space="preserve"> </w:t>
      </w:r>
      <w:r>
        <w:t xml:space="preserve">- Load testing performed quarterly</w:t>
      </w:r>
    </w:p>
    <w:p>
      <w:pPr>
        <w:pStyle w:val="Compact"/>
        <w:numPr>
          <w:ilvl w:val="0"/>
          <w:numId w:val="1015"/>
        </w:numPr>
      </w:pPr>
      <w:r>
        <w:rPr>
          <w:b/>
          <w:bCs/>
        </w:rPr>
        <w:t xml:space="preserve">Queue Management</w:t>
      </w:r>
    </w:p>
    <w:p>
      <w:pPr>
        <w:pStyle w:val="Compact"/>
        <w:numPr>
          <w:ilvl w:val="1"/>
          <w:numId w:val="1016"/>
        </w:numPr>
      </w:pPr>
      <w:r>
        <w:t xml:space="preserve">Asynchronous processing for batch jobs</w:t>
      </w:r>
    </w:p>
    <w:p>
      <w:pPr>
        <w:pStyle w:val="Compact"/>
        <w:numPr>
          <w:ilvl w:val="1"/>
          <w:numId w:val="1016"/>
        </w:numPr>
      </w:pPr>
      <w:r>
        <w:t xml:space="preserve">Priority queuing for urgent requests</w:t>
      </w:r>
    </w:p>
    <w:p>
      <w:pPr>
        <w:pStyle w:val="Compact"/>
        <w:numPr>
          <w:ilvl w:val="1"/>
          <w:numId w:val="1016"/>
        </w:numPr>
      </w:pPr>
      <w:r>
        <w:t xml:space="preserve">Expected time-to-completion estimates provided</w:t>
      </w:r>
    </w:p>
    <w:p>
      <w:pPr>
        <w:pStyle w:val="Compact"/>
        <w:numPr>
          <w:ilvl w:val="0"/>
          <w:numId w:val="1015"/>
        </w:numPr>
      </w:pPr>
      <w:r>
        <w:rPr>
          <w:b/>
          <w:bCs/>
        </w:rPr>
        <w:t xml:space="preserve">Performance Optimization</w:t>
      </w:r>
    </w:p>
    <w:p>
      <w:pPr>
        <w:pStyle w:val="Compact"/>
        <w:numPr>
          <w:ilvl w:val="1"/>
          <w:numId w:val="1017"/>
        </w:numPr>
      </w:pPr>
      <w:r>
        <w:t xml:space="preserve">Model optimization for inference speed</w:t>
      </w:r>
    </w:p>
    <w:p>
      <w:pPr>
        <w:pStyle w:val="Compact"/>
        <w:numPr>
          <w:ilvl w:val="1"/>
          <w:numId w:val="1017"/>
        </w:numPr>
      </w:pPr>
      <w:r>
        <w:t xml:space="preserve">Caching of repeated assessments</w:t>
      </w:r>
    </w:p>
    <w:p>
      <w:pPr>
        <w:pStyle w:val="Compact"/>
        <w:numPr>
          <w:ilvl w:val="1"/>
          <w:numId w:val="1017"/>
        </w:numPr>
      </w:pPr>
      <w:r>
        <w:t xml:space="preserve">Batch processing for efficiency</w:t>
      </w:r>
    </w:p>
    <w:p>
      <w:r>
        <w:pict>
          <v:rect style="width:0;height:1.5pt" o:hralign="center" o:hrstd="t" o:hr="t"/>
        </w:pict>
      </w:r>
    </w:p>
    <w:bookmarkEnd w:id="15"/>
    <w:bookmarkEnd w:id="16"/>
    <w:bookmarkStart w:id="19" w:name="data-quality-security-risks"/>
    <w:p>
      <w:pPr>
        <w:pStyle w:val="Heading3"/>
      </w:pPr>
      <w:r>
        <w:t xml:space="preserve">1.3 Data Quality &amp; Security Risks</w:t>
      </w:r>
    </w:p>
    <w:bookmarkStart w:id="17" w:name="risk-poor-quality-input-images"/>
    <w:p>
      <w:pPr>
        <w:pStyle w:val="Heading4"/>
      </w:pPr>
      <w:r>
        <w:t xml:space="preserve">Risk: Poor Quality Input Images</w:t>
      </w:r>
    </w:p>
    <w:p>
      <w:pPr>
        <w:pStyle w:val="Compact"/>
        <w:numPr>
          <w:ilvl w:val="0"/>
          <w:numId w:val="1018"/>
        </w:numPr>
      </w:pPr>
      <w:r>
        <w:rPr>
          <w:b/>
          <w:bCs/>
        </w:rPr>
        <w:t xml:space="preserve">Impact:</w:t>
      </w:r>
      <w:r>
        <w:t xml:space="preserve"> </w:t>
      </w:r>
      <w:r>
        <w:t xml:space="preserve">HIGH - Incorrect predictions</w:t>
      </w:r>
    </w:p>
    <w:p>
      <w:pPr>
        <w:pStyle w:val="Compact"/>
        <w:numPr>
          <w:ilvl w:val="0"/>
          <w:numId w:val="1018"/>
        </w:numPr>
      </w:pPr>
      <w:r>
        <w:rPr>
          <w:b/>
          <w:bCs/>
        </w:rPr>
        <w:t xml:space="preserve">Likelihood:</w:t>
      </w:r>
      <w:r>
        <w:t xml:space="preserve"> </w:t>
      </w:r>
      <w:r>
        <w:t xml:space="preserve">MEDIUM - Depends on data sources</w:t>
      </w:r>
    </w:p>
    <w:p>
      <w:pPr>
        <w:pStyle w:val="Compact"/>
        <w:numPr>
          <w:ilvl w:val="0"/>
          <w:numId w:val="1018"/>
        </w:numPr>
      </w:pPr>
      <w:r>
        <w:rPr>
          <w:b/>
          <w:bCs/>
        </w:rPr>
        <w:t xml:space="preserve">Risk Score:</w:t>
      </w:r>
      <w:r>
        <w:t xml:space="preserve"> </w:t>
      </w:r>
      <w:r>
        <w:t xml:space="preserve">HIGH</w:t>
      </w:r>
    </w:p>
    <w:p>
      <w:pPr>
        <w:pStyle w:val="FirstParagraph"/>
      </w:pPr>
      <w:r>
        <w:rPr>
          <w:b/>
          <w:bCs/>
        </w:rPr>
        <w:t xml:space="preserve">Mitigation Measures:</w:t>
      </w:r>
      <w:r>
        <w:t xml:space="preserve"> </w:t>
      </w:r>
      <w:r>
        <w:t xml:space="preserve">1.</w:t>
      </w:r>
      <w:r>
        <w:t xml:space="preserve"> </w:t>
      </w:r>
      <w:r>
        <w:rPr>
          <w:b/>
          <w:bCs/>
        </w:rPr>
        <w:t xml:space="preserve">Input Validation</w:t>
      </w:r>
      <w:r>
        <w:t xml:space="preserve"> </w:t>
      </w:r>
      <w:r>
        <w:t xml:space="preserve">- Automated image quality checks (resolution, format, corruption)</w:t>
      </w:r>
      <w:r>
        <w:t xml:space="preserve"> </w:t>
      </w:r>
      <w:r>
        <w:t xml:space="preserve">- Rejection of images below minimum quality thresholds</w:t>
      </w:r>
      <w:r>
        <w:t xml:space="preserve"> </w:t>
      </w:r>
      <w:r>
        <w:t xml:space="preserve">- Clear guidelines for image capture/sourcing</w:t>
      </w:r>
    </w:p>
    <w:p>
      <w:pPr>
        <w:pStyle w:val="Compact"/>
        <w:numPr>
          <w:ilvl w:val="0"/>
          <w:numId w:val="1019"/>
        </w:numPr>
      </w:pPr>
      <w:r>
        <w:rPr>
          <w:b/>
          <w:bCs/>
        </w:rPr>
        <w:t xml:space="preserve">Preprocessing Pipeline</w:t>
      </w:r>
    </w:p>
    <w:p>
      <w:pPr>
        <w:pStyle w:val="Compact"/>
        <w:numPr>
          <w:ilvl w:val="1"/>
          <w:numId w:val="1020"/>
        </w:numPr>
      </w:pPr>
      <w:r>
        <w:t xml:space="preserve">Standardized preprocessing for consistency</w:t>
      </w:r>
    </w:p>
    <w:p>
      <w:pPr>
        <w:pStyle w:val="Compact"/>
        <w:numPr>
          <w:ilvl w:val="1"/>
          <w:numId w:val="1020"/>
        </w:numPr>
      </w:pPr>
      <w:r>
        <w:t xml:space="preserve">Handling of edge cases (orientation, scaling)</w:t>
      </w:r>
    </w:p>
    <w:p>
      <w:pPr>
        <w:pStyle w:val="Compact"/>
        <w:numPr>
          <w:ilvl w:val="1"/>
          <w:numId w:val="1020"/>
        </w:numPr>
      </w:pPr>
      <w:r>
        <w:t xml:space="preserve">Fallback to manual review for problematic images</w:t>
      </w:r>
    </w:p>
    <w:p>
      <w:pPr>
        <w:pStyle w:val="Compact"/>
        <w:numPr>
          <w:ilvl w:val="0"/>
          <w:numId w:val="1019"/>
        </w:numPr>
      </w:pPr>
      <w:r>
        <w:rPr>
          <w:b/>
          <w:bCs/>
        </w:rPr>
        <w:t xml:space="preserve">User Guidance</w:t>
      </w:r>
    </w:p>
    <w:p>
      <w:pPr>
        <w:pStyle w:val="Compact"/>
        <w:numPr>
          <w:ilvl w:val="1"/>
          <w:numId w:val="1021"/>
        </w:numPr>
      </w:pPr>
      <w:r>
        <w:t xml:space="preserve">Documentation on optimal image specifications</w:t>
      </w:r>
    </w:p>
    <w:p>
      <w:pPr>
        <w:pStyle w:val="Compact"/>
        <w:numPr>
          <w:ilvl w:val="1"/>
          <w:numId w:val="1021"/>
        </w:numPr>
      </w:pPr>
      <w:r>
        <w:t xml:space="preserve">Examples of good vs. poor quality inputs</w:t>
      </w:r>
    </w:p>
    <w:p>
      <w:pPr>
        <w:pStyle w:val="Compact"/>
        <w:numPr>
          <w:ilvl w:val="1"/>
          <w:numId w:val="1021"/>
        </w:numPr>
      </w:pPr>
      <w:r>
        <w:t xml:space="preserve">Technical support for image sourcing issues</w:t>
      </w:r>
    </w:p>
    <w:p>
      <w:r>
        <w:pict>
          <v:rect style="width:0;height:1.5pt" o:hralign="center" o:hrstd="t" o:hr="t"/>
        </w:pict>
      </w:r>
    </w:p>
    <w:bookmarkEnd w:id="17"/>
    <w:bookmarkStart w:id="18" w:name="risk-data-breach-or-unauthorized-access"/>
    <w:p>
      <w:pPr>
        <w:pStyle w:val="Heading4"/>
      </w:pPr>
      <w:r>
        <w:t xml:space="preserve">Risk: Data Breach or Unauthorized Access</w:t>
      </w:r>
    </w:p>
    <w:p>
      <w:pPr>
        <w:pStyle w:val="Compact"/>
        <w:numPr>
          <w:ilvl w:val="0"/>
          <w:numId w:val="1022"/>
        </w:numPr>
      </w:pPr>
      <w:r>
        <w:rPr>
          <w:b/>
          <w:bCs/>
        </w:rPr>
        <w:t xml:space="preserve">Impact:</w:t>
      </w:r>
      <w:r>
        <w:t xml:space="preserve"> </w:t>
      </w:r>
      <w:r>
        <w:t xml:space="preserve">CRITICAL - Legal liability, privacy violations</w:t>
      </w:r>
    </w:p>
    <w:p>
      <w:pPr>
        <w:pStyle w:val="Compact"/>
        <w:numPr>
          <w:ilvl w:val="0"/>
          <w:numId w:val="1022"/>
        </w:numPr>
      </w:pPr>
      <w:r>
        <w:rPr>
          <w:b/>
          <w:bCs/>
        </w:rPr>
        <w:t xml:space="preserve">Likelihood:</w:t>
      </w:r>
      <w:r>
        <w:t xml:space="preserve"> </w:t>
      </w:r>
      <w:r>
        <w:t xml:space="preserve">LOW - With proper security</w:t>
      </w:r>
    </w:p>
    <w:p>
      <w:pPr>
        <w:pStyle w:val="Compact"/>
        <w:numPr>
          <w:ilvl w:val="0"/>
          <w:numId w:val="1022"/>
        </w:numPr>
      </w:pPr>
      <w:r>
        <w:rPr>
          <w:b/>
          <w:bCs/>
        </w:rPr>
        <w:t xml:space="preserve">Risk Score:</w:t>
      </w:r>
      <w:r>
        <w:t xml:space="preserve"> </w:t>
      </w:r>
      <w:r>
        <w:t xml:space="preserve">MEDIUM-HIGH</w:t>
      </w:r>
    </w:p>
    <w:p>
      <w:pPr>
        <w:pStyle w:val="FirstParagraph"/>
      </w:pPr>
      <w:r>
        <w:rPr>
          <w:b/>
          <w:bCs/>
        </w:rPr>
        <w:t xml:space="preserve">Mitigation Measures:</w:t>
      </w:r>
      <w:r>
        <w:t xml:space="preserve"> </w:t>
      </w:r>
      <w:r>
        <w:t xml:space="preserve">1.</w:t>
      </w:r>
      <w:r>
        <w:t xml:space="preserve"> </w:t>
      </w:r>
      <w:r>
        <w:rPr>
          <w:b/>
          <w:bCs/>
        </w:rPr>
        <w:t xml:space="preserve">Access Control</w:t>
      </w:r>
      <w:r>
        <w:t xml:space="preserve"> </w:t>
      </w:r>
      <w:r>
        <w:t xml:space="preserve">- Role-based access control (RBAC)</w:t>
      </w:r>
      <w:r>
        <w:t xml:space="preserve"> </w:t>
      </w:r>
      <w:r>
        <w:t xml:space="preserve">- Multi-factor authentication (MFA) required</w:t>
      </w:r>
      <w:r>
        <w:t xml:space="preserve"> </w:t>
      </w:r>
      <w:r>
        <w:t xml:space="preserve">- Regular access audits and review</w:t>
      </w:r>
    </w:p>
    <w:p>
      <w:pPr>
        <w:pStyle w:val="Compact"/>
        <w:numPr>
          <w:ilvl w:val="0"/>
          <w:numId w:val="1023"/>
        </w:numPr>
      </w:pPr>
      <w:r>
        <w:rPr>
          <w:b/>
          <w:bCs/>
        </w:rPr>
        <w:t xml:space="preserve">Data Encryption</w:t>
      </w:r>
    </w:p>
    <w:p>
      <w:pPr>
        <w:pStyle w:val="Compact"/>
        <w:numPr>
          <w:ilvl w:val="1"/>
          <w:numId w:val="1024"/>
        </w:numPr>
      </w:pPr>
      <w:r>
        <w:t xml:space="preserve">Encryption at rest (AES-256)</w:t>
      </w:r>
    </w:p>
    <w:p>
      <w:pPr>
        <w:pStyle w:val="Compact"/>
        <w:numPr>
          <w:ilvl w:val="1"/>
          <w:numId w:val="1024"/>
        </w:numPr>
      </w:pPr>
      <w:r>
        <w:t xml:space="preserve">Encryption in transit (TLS 1.3)</w:t>
      </w:r>
    </w:p>
    <w:p>
      <w:pPr>
        <w:pStyle w:val="Compact"/>
        <w:numPr>
          <w:ilvl w:val="1"/>
          <w:numId w:val="1024"/>
        </w:numPr>
      </w:pPr>
      <w:r>
        <w:t xml:space="preserve">Secure key management (Azure Key Vault, AWS KMS)</w:t>
      </w:r>
    </w:p>
    <w:p>
      <w:pPr>
        <w:pStyle w:val="Compact"/>
        <w:numPr>
          <w:ilvl w:val="0"/>
          <w:numId w:val="1023"/>
        </w:numPr>
      </w:pPr>
      <w:r>
        <w:rPr>
          <w:b/>
          <w:bCs/>
        </w:rPr>
        <w:t xml:space="preserve">Security Monitoring</w:t>
      </w:r>
    </w:p>
    <w:p>
      <w:pPr>
        <w:pStyle w:val="Compact"/>
        <w:numPr>
          <w:ilvl w:val="1"/>
          <w:numId w:val="1025"/>
        </w:numPr>
      </w:pPr>
      <w:r>
        <w:t xml:space="preserve">Intrusion detection systems</w:t>
      </w:r>
    </w:p>
    <w:p>
      <w:pPr>
        <w:pStyle w:val="Compact"/>
        <w:numPr>
          <w:ilvl w:val="1"/>
          <w:numId w:val="1025"/>
        </w:numPr>
      </w:pPr>
      <w:r>
        <w:t xml:space="preserve">Regular security audits and penetration testing</w:t>
      </w:r>
    </w:p>
    <w:p>
      <w:pPr>
        <w:pStyle w:val="Compact"/>
        <w:numPr>
          <w:ilvl w:val="1"/>
          <w:numId w:val="1025"/>
        </w:numPr>
      </w:pPr>
      <w:r>
        <w:t xml:space="preserve">Incident response plan with 1-hour notification SLA</w:t>
      </w:r>
    </w:p>
    <w:p>
      <w:pPr>
        <w:pStyle w:val="Compact"/>
        <w:numPr>
          <w:ilvl w:val="0"/>
          <w:numId w:val="1023"/>
        </w:numPr>
      </w:pPr>
      <w:r>
        <w:rPr>
          <w:b/>
          <w:bCs/>
        </w:rPr>
        <w:t xml:space="preserve">Data Minimization</w:t>
      </w:r>
    </w:p>
    <w:p>
      <w:pPr>
        <w:pStyle w:val="Compact"/>
        <w:numPr>
          <w:ilvl w:val="1"/>
          <w:numId w:val="1026"/>
        </w:numPr>
      </w:pPr>
      <w:r>
        <w:t xml:space="preserve">Only collect/store necessary data</w:t>
      </w:r>
    </w:p>
    <w:p>
      <w:pPr>
        <w:pStyle w:val="Compact"/>
        <w:numPr>
          <w:ilvl w:val="1"/>
          <w:numId w:val="1026"/>
        </w:numPr>
      </w:pPr>
      <w:r>
        <w:t xml:space="preserve">Automated data retention policies</w:t>
      </w:r>
    </w:p>
    <w:p>
      <w:pPr>
        <w:pStyle w:val="Compact"/>
        <w:numPr>
          <w:ilvl w:val="1"/>
          <w:numId w:val="1026"/>
        </w:numPr>
      </w:pPr>
      <w:r>
        <w:t xml:space="preserve">Secure data disposal procedures</w:t>
      </w:r>
    </w:p>
    <w:p>
      <w:r>
        <w:pict>
          <v:rect style="width:0;height:1.5pt" o:hralign="center" o:hrstd="t" o:hr="t"/>
        </w:pict>
      </w:r>
    </w:p>
    <w:bookmarkEnd w:id="18"/>
    <w:bookmarkEnd w:id="19"/>
    <w:bookmarkEnd w:id="20"/>
    <w:bookmarkStart w:id="30" w:name="business-operational-risks"/>
    <w:p>
      <w:pPr>
        <w:pStyle w:val="Heading2"/>
      </w:pPr>
      <w:r>
        <w:t xml:space="preserve">2. Business &amp; Operational Risks</w:t>
      </w:r>
    </w:p>
    <w:bookmarkStart w:id="23" w:name="financial-risks"/>
    <w:p>
      <w:pPr>
        <w:pStyle w:val="Heading3"/>
      </w:pPr>
      <w:r>
        <w:t xml:space="preserve">2.1 Financial Risks</w:t>
      </w:r>
    </w:p>
    <w:bookmarkStart w:id="21" w:name="Xa5206c3269df0e0bb7c298648a735e1224a4993"/>
    <w:p>
      <w:pPr>
        <w:pStyle w:val="Heading4"/>
      </w:pPr>
      <w:r>
        <w:t xml:space="preserve">Risk: Incorrect Assessments Leading to Financial Loss</w:t>
      </w:r>
    </w:p>
    <w:p>
      <w:pPr>
        <w:pStyle w:val="Compact"/>
        <w:numPr>
          <w:ilvl w:val="0"/>
          <w:numId w:val="1027"/>
        </w:numPr>
      </w:pPr>
      <w:r>
        <w:rPr>
          <w:b/>
          <w:bCs/>
        </w:rPr>
        <w:t xml:space="preserve">Impact:</w:t>
      </w:r>
      <w:r>
        <w:t xml:space="preserve"> </w:t>
      </w:r>
      <w:r>
        <w:t xml:space="preserve">CRITICAL - Direct financial loss to company or clients</w:t>
      </w:r>
    </w:p>
    <w:p>
      <w:pPr>
        <w:pStyle w:val="Compact"/>
        <w:numPr>
          <w:ilvl w:val="0"/>
          <w:numId w:val="1027"/>
        </w:numPr>
      </w:pPr>
      <w:r>
        <w:rPr>
          <w:b/>
          <w:bCs/>
        </w:rPr>
        <w:t xml:space="preserve">Likelihood:</w:t>
      </w:r>
      <w:r>
        <w:t xml:space="preserve"> </w:t>
      </w:r>
      <w:r>
        <w:t xml:space="preserve">MEDIUM - Based on model accuracy</w:t>
      </w:r>
    </w:p>
    <w:p>
      <w:pPr>
        <w:pStyle w:val="Compact"/>
        <w:numPr>
          <w:ilvl w:val="0"/>
          <w:numId w:val="1027"/>
        </w:numPr>
      </w:pPr>
      <w:r>
        <w:rPr>
          <w:b/>
          <w:bCs/>
        </w:rPr>
        <w:t xml:space="preserve">Risk Score:</w:t>
      </w:r>
      <w:r>
        <w:t xml:space="preserve"> </w:t>
      </w:r>
      <w:r>
        <w:t xml:space="preserve">HIGH</w:t>
      </w:r>
    </w:p>
    <w:p>
      <w:pPr>
        <w:pStyle w:val="FirstParagraph"/>
      </w:pPr>
      <w:r>
        <w:rPr>
          <w:b/>
          <w:bCs/>
        </w:rPr>
        <w:t xml:space="preserve">Mitigation Measures:</w:t>
      </w:r>
      <w:r>
        <w:t xml:space="preserve"> </w:t>
      </w:r>
      <w:r>
        <w:t xml:space="preserve">1.</w:t>
      </w:r>
      <w:r>
        <w:t xml:space="preserve"> </w:t>
      </w:r>
      <w:r>
        <w:rPr>
          <w:b/>
          <w:bCs/>
        </w:rPr>
        <w:t xml:space="preserve">Insurance Coverage</w:t>
      </w:r>
      <w:r>
        <w:t xml:space="preserve"> </w:t>
      </w:r>
      <w:r>
        <w:t xml:space="preserve">- Professional indemnity insurance</w:t>
      </w:r>
      <w:r>
        <w:t xml:space="preserve"> </w:t>
      </w:r>
      <w:r>
        <w:t xml:space="preserve">- Cyber liability insurance</w:t>
      </w:r>
      <w:r>
        <w:t xml:space="preserve"> </w:t>
      </w:r>
      <w:r>
        <w:t xml:space="preserve">- Coverage limits based on risk assessment</w:t>
      </w:r>
    </w:p>
    <w:p>
      <w:pPr>
        <w:pStyle w:val="Compact"/>
        <w:numPr>
          <w:ilvl w:val="0"/>
          <w:numId w:val="1028"/>
        </w:numPr>
      </w:pPr>
      <w:r>
        <w:rPr>
          <w:b/>
          <w:bCs/>
        </w:rPr>
        <w:t xml:space="preserve">Liability Limitation</w:t>
      </w:r>
    </w:p>
    <w:p>
      <w:pPr>
        <w:pStyle w:val="Compact"/>
        <w:numPr>
          <w:ilvl w:val="1"/>
          <w:numId w:val="1029"/>
        </w:numPr>
      </w:pPr>
      <w:r>
        <w:t xml:space="preserve">Clear terms of service outlining AI limitations</w:t>
      </w:r>
    </w:p>
    <w:p>
      <w:pPr>
        <w:pStyle w:val="Compact"/>
        <w:numPr>
          <w:ilvl w:val="1"/>
          <w:numId w:val="1029"/>
        </w:numPr>
      </w:pPr>
      <w:r>
        <w:t xml:space="preserve">Disclaimer on probabilistic nature of assessments</w:t>
      </w:r>
    </w:p>
    <w:p>
      <w:pPr>
        <w:pStyle w:val="Compact"/>
        <w:numPr>
          <w:ilvl w:val="1"/>
          <w:numId w:val="1029"/>
        </w:numPr>
      </w:pPr>
      <w:r>
        <w:t xml:space="preserve">Customer acknowledgment of inherent uncertainty</w:t>
      </w:r>
    </w:p>
    <w:p>
      <w:pPr>
        <w:pStyle w:val="Compact"/>
        <w:numPr>
          <w:ilvl w:val="0"/>
          <w:numId w:val="1028"/>
        </w:numPr>
      </w:pPr>
      <w:r>
        <w:rPr>
          <w:b/>
          <w:bCs/>
        </w:rPr>
        <w:t xml:space="preserve">Financial Controls</w:t>
      </w:r>
    </w:p>
    <w:p>
      <w:pPr>
        <w:pStyle w:val="Compact"/>
        <w:numPr>
          <w:ilvl w:val="1"/>
          <w:numId w:val="1030"/>
        </w:numPr>
      </w:pPr>
      <w:r>
        <w:t xml:space="preserve">Capping of automated decisions to specific value thresholds</w:t>
      </w:r>
    </w:p>
    <w:p>
      <w:pPr>
        <w:pStyle w:val="Compact"/>
        <w:numPr>
          <w:ilvl w:val="1"/>
          <w:numId w:val="1030"/>
        </w:numPr>
      </w:pPr>
      <w:r>
        <w:t xml:space="preserve">Escalation procedures for high-value assessments</w:t>
      </w:r>
    </w:p>
    <w:p>
      <w:pPr>
        <w:pStyle w:val="Compact"/>
        <w:numPr>
          <w:ilvl w:val="1"/>
          <w:numId w:val="1030"/>
        </w:numPr>
      </w:pPr>
      <w:r>
        <w:t xml:space="preserve">Regular financial impact audits</w:t>
      </w:r>
    </w:p>
    <w:p>
      <w:pPr>
        <w:pStyle w:val="Compact"/>
        <w:numPr>
          <w:ilvl w:val="0"/>
          <w:numId w:val="1028"/>
        </w:numPr>
      </w:pPr>
      <w:r>
        <w:rPr>
          <w:b/>
          <w:bCs/>
        </w:rPr>
        <w:t xml:space="preserve">Validation Requirements</w:t>
      </w:r>
    </w:p>
    <w:p>
      <w:pPr>
        <w:pStyle w:val="Compact"/>
        <w:numPr>
          <w:ilvl w:val="1"/>
          <w:numId w:val="1031"/>
        </w:numPr>
      </w:pPr>
      <w:r>
        <w:t xml:space="preserve">Third-party validation for claims above $X threshold</w:t>
      </w:r>
    </w:p>
    <w:p>
      <w:pPr>
        <w:pStyle w:val="Compact"/>
        <w:numPr>
          <w:ilvl w:val="1"/>
          <w:numId w:val="1031"/>
        </w:numPr>
      </w:pPr>
      <w:r>
        <w:t xml:space="preserve">Ground truth verification sampling program</w:t>
      </w:r>
    </w:p>
    <w:p>
      <w:pPr>
        <w:pStyle w:val="Compact"/>
        <w:numPr>
          <w:ilvl w:val="1"/>
          <w:numId w:val="1031"/>
        </w:numPr>
      </w:pPr>
      <w:r>
        <w:t xml:space="preserve">Independent expert review option</w:t>
      </w:r>
    </w:p>
    <w:p>
      <w:r>
        <w:pict>
          <v:rect style="width:0;height:1.5pt" o:hralign="center" o:hrstd="t" o:hr="t"/>
        </w:pict>
      </w:r>
    </w:p>
    <w:bookmarkEnd w:id="21"/>
    <w:bookmarkStart w:id="22" w:name="risk-cost-overruns-in-operation"/>
    <w:p>
      <w:pPr>
        <w:pStyle w:val="Heading4"/>
      </w:pPr>
      <w:r>
        <w:t xml:space="preserve">Risk: Cost Overruns in Operation</w:t>
      </w:r>
    </w:p>
    <w:p>
      <w:pPr>
        <w:pStyle w:val="Compact"/>
        <w:numPr>
          <w:ilvl w:val="0"/>
          <w:numId w:val="1032"/>
        </w:numPr>
      </w:pPr>
      <w:r>
        <w:rPr>
          <w:b/>
          <w:bCs/>
        </w:rPr>
        <w:t xml:space="preserve">Impact:</w:t>
      </w:r>
      <w:r>
        <w:t xml:space="preserve"> </w:t>
      </w:r>
      <w:r>
        <w:t xml:space="preserve">MEDIUM - Reduced profitability</w:t>
      </w:r>
    </w:p>
    <w:p>
      <w:pPr>
        <w:pStyle w:val="Compact"/>
        <w:numPr>
          <w:ilvl w:val="0"/>
          <w:numId w:val="1032"/>
        </w:numPr>
      </w:pPr>
      <w:r>
        <w:rPr>
          <w:b/>
          <w:bCs/>
        </w:rPr>
        <w:t xml:space="preserve">Likelihood:</w:t>
      </w:r>
      <w:r>
        <w:t xml:space="preserve"> </w:t>
      </w:r>
      <w:r>
        <w:t xml:space="preserve">LOW - With proper budgeting</w:t>
      </w:r>
    </w:p>
    <w:p>
      <w:pPr>
        <w:pStyle w:val="Compact"/>
        <w:numPr>
          <w:ilvl w:val="0"/>
          <w:numId w:val="1032"/>
        </w:numPr>
      </w:pPr>
      <w:r>
        <w:rPr>
          <w:b/>
          <w:bCs/>
        </w:rPr>
        <w:t xml:space="preserve">Risk Score:</w:t>
      </w:r>
      <w:r>
        <w:t xml:space="preserve"> </w:t>
      </w:r>
      <w:r>
        <w:t xml:space="preserve">LOW-MEDIUM</w:t>
      </w:r>
    </w:p>
    <w:p>
      <w:pPr>
        <w:pStyle w:val="FirstParagraph"/>
      </w:pPr>
      <w:r>
        <w:rPr>
          <w:b/>
          <w:bCs/>
        </w:rPr>
        <w:t xml:space="preserve">Mitigation Measures:</w:t>
      </w:r>
      <w:r>
        <w:t xml:space="preserve"> </w:t>
      </w:r>
      <w:r>
        <w:t xml:space="preserve">1.</w:t>
      </w:r>
      <w:r>
        <w:t xml:space="preserve"> </w:t>
      </w:r>
      <w:r>
        <w:rPr>
          <w:b/>
          <w:bCs/>
        </w:rPr>
        <w:t xml:space="preserve">Cost Monitoring</w:t>
      </w:r>
      <w:r>
        <w:t xml:space="preserve"> </w:t>
      </w:r>
      <w:r>
        <w:t xml:space="preserve">- Real-time cloud cost tracking</w:t>
      </w:r>
      <w:r>
        <w:t xml:space="preserve"> </w:t>
      </w:r>
      <w:r>
        <w:t xml:space="preserve">- Budget alerts at 75%, 90%, 100% thresholds</w:t>
      </w:r>
      <w:r>
        <w:t xml:space="preserve"> </w:t>
      </w:r>
      <w:r>
        <w:t xml:space="preserve">- Monthly cost optimization reviews</w:t>
      </w:r>
    </w:p>
    <w:p>
      <w:pPr>
        <w:pStyle w:val="Compact"/>
        <w:numPr>
          <w:ilvl w:val="0"/>
          <w:numId w:val="1033"/>
        </w:numPr>
      </w:pPr>
      <w:r>
        <w:rPr>
          <w:b/>
          <w:bCs/>
        </w:rPr>
        <w:t xml:space="preserve">Resource Optimization</w:t>
      </w:r>
    </w:p>
    <w:p>
      <w:pPr>
        <w:pStyle w:val="Compact"/>
        <w:numPr>
          <w:ilvl w:val="1"/>
          <w:numId w:val="1034"/>
        </w:numPr>
      </w:pPr>
      <w:r>
        <w:t xml:space="preserve">Right-sizing of compute resources</w:t>
      </w:r>
    </w:p>
    <w:p>
      <w:pPr>
        <w:pStyle w:val="Compact"/>
        <w:numPr>
          <w:ilvl w:val="1"/>
          <w:numId w:val="1034"/>
        </w:numPr>
      </w:pPr>
      <w:r>
        <w:t xml:space="preserve">Use of spot/reserved instances where appropriate</w:t>
      </w:r>
    </w:p>
    <w:p>
      <w:pPr>
        <w:pStyle w:val="Compact"/>
        <w:numPr>
          <w:ilvl w:val="1"/>
          <w:numId w:val="1034"/>
        </w:numPr>
      </w:pPr>
      <w:r>
        <w:t xml:space="preserve">Automated scaling down during low usage</w:t>
      </w:r>
    </w:p>
    <w:p>
      <w:pPr>
        <w:pStyle w:val="Compact"/>
        <w:numPr>
          <w:ilvl w:val="0"/>
          <w:numId w:val="1033"/>
        </w:numPr>
      </w:pPr>
      <w:r>
        <w:rPr>
          <w:b/>
          <w:bCs/>
        </w:rPr>
        <w:t xml:space="preserve">Contract Management</w:t>
      </w:r>
    </w:p>
    <w:p>
      <w:pPr>
        <w:pStyle w:val="Compact"/>
        <w:numPr>
          <w:ilvl w:val="1"/>
          <w:numId w:val="1035"/>
        </w:numPr>
      </w:pPr>
      <w:r>
        <w:t xml:space="preserve">Negotiated volume discounts with cloud providers</w:t>
      </w:r>
    </w:p>
    <w:p>
      <w:pPr>
        <w:pStyle w:val="Compact"/>
        <w:numPr>
          <w:ilvl w:val="1"/>
          <w:numId w:val="1035"/>
        </w:numPr>
      </w:pPr>
      <w:r>
        <w:t xml:space="preserve">Cost predictability through reserved capacity</w:t>
      </w:r>
    </w:p>
    <w:p>
      <w:pPr>
        <w:pStyle w:val="Compact"/>
        <w:numPr>
          <w:ilvl w:val="1"/>
          <w:numId w:val="1035"/>
        </w:numPr>
      </w:pPr>
      <w:r>
        <w:t xml:space="preserve">Annual contract reviews</w:t>
      </w:r>
    </w:p>
    <w:p>
      <w:r>
        <w:pict>
          <v:rect style="width:0;height:1.5pt" o:hralign="center" o:hrstd="t" o:hr="t"/>
        </w:pict>
      </w:r>
    </w:p>
    <w:bookmarkEnd w:id="22"/>
    <w:bookmarkEnd w:id="23"/>
    <w:bookmarkStart w:id="26" w:name="compliance-regulatory-risks"/>
    <w:p>
      <w:pPr>
        <w:pStyle w:val="Heading3"/>
      </w:pPr>
      <w:r>
        <w:t xml:space="preserve">2.2 Compliance &amp; Regulatory Risks</w:t>
      </w:r>
    </w:p>
    <w:bookmarkStart w:id="24" w:name="X49659842fbd9a1b2e2da392016694e1968a2ffc"/>
    <w:p>
      <w:pPr>
        <w:pStyle w:val="Heading4"/>
      </w:pPr>
      <w:r>
        <w:t xml:space="preserve">Risk: Non-Compliance with Carbon Credit Regulations</w:t>
      </w:r>
    </w:p>
    <w:p>
      <w:pPr>
        <w:pStyle w:val="Compact"/>
        <w:numPr>
          <w:ilvl w:val="0"/>
          <w:numId w:val="1036"/>
        </w:numPr>
      </w:pPr>
      <w:r>
        <w:rPr>
          <w:b/>
          <w:bCs/>
        </w:rPr>
        <w:t xml:space="preserve">Impact:</w:t>
      </w:r>
      <w:r>
        <w:t xml:space="preserve"> </w:t>
      </w:r>
      <w:r>
        <w:t xml:space="preserve">CRITICAL - Legal penalties, loss of certification</w:t>
      </w:r>
    </w:p>
    <w:p>
      <w:pPr>
        <w:pStyle w:val="Compact"/>
        <w:numPr>
          <w:ilvl w:val="0"/>
          <w:numId w:val="1036"/>
        </w:numPr>
      </w:pPr>
      <w:r>
        <w:rPr>
          <w:b/>
          <w:bCs/>
        </w:rPr>
        <w:t xml:space="preserve">Likelihood:</w:t>
      </w:r>
      <w:r>
        <w:t xml:space="preserve"> </w:t>
      </w:r>
      <w:r>
        <w:t xml:space="preserve">MEDIUM - Evolving regulatory landscape</w:t>
      </w:r>
    </w:p>
    <w:p>
      <w:pPr>
        <w:pStyle w:val="Compact"/>
        <w:numPr>
          <w:ilvl w:val="0"/>
          <w:numId w:val="1036"/>
        </w:numPr>
      </w:pPr>
      <w:r>
        <w:rPr>
          <w:b/>
          <w:bCs/>
        </w:rPr>
        <w:t xml:space="preserve">Risk Score:</w:t>
      </w:r>
      <w:r>
        <w:t xml:space="preserve"> </w:t>
      </w:r>
      <w:r>
        <w:t xml:space="preserve">HIGH</w:t>
      </w:r>
    </w:p>
    <w:p>
      <w:pPr>
        <w:pStyle w:val="FirstParagraph"/>
      </w:pPr>
      <w:r>
        <w:rPr>
          <w:b/>
          <w:bCs/>
        </w:rPr>
        <w:t xml:space="preserve">Mitigation Measures:</w:t>
      </w:r>
      <w:r>
        <w:t xml:space="preserve"> </w:t>
      </w:r>
      <w:r>
        <w:t xml:space="preserve">1.</w:t>
      </w:r>
      <w:r>
        <w:t xml:space="preserve"> </w:t>
      </w:r>
      <w:r>
        <w:rPr>
          <w:b/>
          <w:bCs/>
        </w:rPr>
        <w:t xml:space="preserve">Regulatory Monitoring (NZ-Specific)</w:t>
      </w:r>
      <w:r>
        <w:t xml:space="preserve"> </w:t>
      </w:r>
      <w:r>
        <w:t xml:space="preserve">- Dedicated compliance officer</w:t>
      </w:r>
      <w:r>
        <w:t xml:space="preserve"> </w:t>
      </w:r>
      <w:r>
        <w:t xml:space="preserve">- Monitor NZ Climate Change Response Act updates</w:t>
      </w:r>
      <w:r>
        <w:t xml:space="preserve"> </w:t>
      </w:r>
      <w:r>
        <w:t xml:space="preserve">- Track EPA ETS rule changes</w:t>
      </w:r>
      <w:r>
        <w:t xml:space="preserve"> </w:t>
      </w:r>
      <w:r>
        <w:t xml:space="preserve">- Quarterly compliance reviews</w:t>
      </w:r>
    </w:p>
    <w:p>
      <w:pPr>
        <w:pStyle w:val="Compact"/>
        <w:numPr>
          <w:ilvl w:val="0"/>
          <w:numId w:val="1037"/>
        </w:numPr>
      </w:pPr>
      <w:r>
        <w:rPr>
          <w:b/>
          <w:bCs/>
        </w:rPr>
        <w:t xml:space="preserve">Documentation &amp; Audit Trail</w:t>
      </w:r>
    </w:p>
    <w:p>
      <w:pPr>
        <w:pStyle w:val="Compact"/>
        <w:numPr>
          <w:ilvl w:val="1"/>
          <w:numId w:val="1038"/>
        </w:numPr>
      </w:pPr>
      <w:r>
        <w:t xml:space="preserve">Complete audit trail of all assessments</w:t>
      </w:r>
    </w:p>
    <w:p>
      <w:pPr>
        <w:pStyle w:val="Compact"/>
        <w:numPr>
          <w:ilvl w:val="1"/>
          <w:numId w:val="1038"/>
        </w:numPr>
      </w:pPr>
      <w:r>
        <w:t xml:space="preserve">Rationale documentation for AI decisions</w:t>
      </w:r>
    </w:p>
    <w:p>
      <w:pPr>
        <w:pStyle w:val="Compact"/>
        <w:numPr>
          <w:ilvl w:val="1"/>
          <w:numId w:val="1038"/>
        </w:numPr>
      </w:pPr>
      <w:r>
        <w:t xml:space="preserve">Retention of all evidence for 7+ years (NZ requirement)</w:t>
      </w:r>
    </w:p>
    <w:p>
      <w:pPr>
        <w:pStyle w:val="Compact"/>
        <w:numPr>
          <w:ilvl w:val="0"/>
          <w:numId w:val="1037"/>
        </w:numPr>
      </w:pPr>
      <w:r>
        <w:rPr>
          <w:b/>
          <w:bCs/>
        </w:rPr>
        <w:t xml:space="preserve">Expert Consultation (NZ-Based)</w:t>
      </w:r>
    </w:p>
    <w:p>
      <w:pPr>
        <w:pStyle w:val="Compact"/>
        <w:numPr>
          <w:ilvl w:val="1"/>
          <w:numId w:val="1039"/>
        </w:numPr>
      </w:pPr>
      <w:r>
        <w:t xml:space="preserve">Legal counsel specializing in NZ carbon credits and ETS</w:t>
      </w:r>
    </w:p>
    <w:p>
      <w:pPr>
        <w:pStyle w:val="Compact"/>
        <w:numPr>
          <w:ilvl w:val="1"/>
          <w:numId w:val="1039"/>
        </w:numPr>
      </w:pPr>
      <w:r>
        <w:t xml:space="preserve">Environmental compliance advisors familiar with NZ regulations</w:t>
      </w:r>
    </w:p>
    <w:p>
      <w:pPr>
        <w:pStyle w:val="Compact"/>
        <w:numPr>
          <w:ilvl w:val="1"/>
          <w:numId w:val="1039"/>
        </w:numPr>
      </w:pPr>
      <w:r>
        <w:t xml:space="preserve">Regular compliance audits by NZ-accredited auditors</w:t>
      </w:r>
    </w:p>
    <w:p>
      <w:pPr>
        <w:pStyle w:val="Compact"/>
        <w:numPr>
          <w:ilvl w:val="0"/>
          <w:numId w:val="1037"/>
        </w:numPr>
      </w:pPr>
      <w:r>
        <w:rPr>
          <w:b/>
          <w:bCs/>
        </w:rPr>
        <w:t xml:space="preserve">Standards Alignment (NZ Focus)</w:t>
      </w:r>
    </w:p>
    <w:p>
      <w:pPr>
        <w:pStyle w:val="Compact"/>
        <w:numPr>
          <w:ilvl w:val="1"/>
          <w:numId w:val="1040"/>
        </w:numPr>
      </w:pPr>
      <w:r>
        <w:t xml:space="preserve">Full compliance with NZ Emissions Trading Scheme (ETS)</w:t>
      </w:r>
    </w:p>
    <w:p>
      <w:pPr>
        <w:pStyle w:val="Compact"/>
        <w:numPr>
          <w:ilvl w:val="1"/>
          <w:numId w:val="1040"/>
        </w:numPr>
      </w:pPr>
      <w:r>
        <w:t xml:space="preserve">Alignment with ISO 14064 (GHG accounting) where applicable</w:t>
      </w:r>
    </w:p>
    <w:p>
      <w:pPr>
        <w:pStyle w:val="Compact"/>
        <w:numPr>
          <w:ilvl w:val="1"/>
          <w:numId w:val="1040"/>
        </w:numPr>
      </w:pPr>
      <w:r>
        <w:t xml:space="preserve">Certification by NZ-recognized bodies</w:t>
      </w:r>
    </w:p>
    <w:p>
      <w:r>
        <w:pict>
          <v:rect style="width:0;height:1.5pt" o:hralign="center" o:hrstd="t" o:hr="t"/>
        </w:pict>
      </w:r>
    </w:p>
    <w:bookmarkEnd w:id="24"/>
    <w:bookmarkStart w:id="25" w:name="risk-privacy-data-protection-violations"/>
    <w:p>
      <w:pPr>
        <w:pStyle w:val="Heading4"/>
      </w:pPr>
      <w:r>
        <w:t xml:space="preserve">Risk: Privacy &amp; Data Protection Violations</w:t>
      </w:r>
    </w:p>
    <w:p>
      <w:pPr>
        <w:pStyle w:val="Compact"/>
        <w:numPr>
          <w:ilvl w:val="0"/>
          <w:numId w:val="1041"/>
        </w:numPr>
      </w:pPr>
      <w:r>
        <w:rPr>
          <w:b/>
          <w:bCs/>
        </w:rPr>
        <w:t xml:space="preserve">Impact:</w:t>
      </w:r>
      <w:r>
        <w:t xml:space="preserve"> </w:t>
      </w:r>
      <w:r>
        <w:t xml:space="preserve">CRITICAL - NZ Privacy Act fines, reputational damage</w:t>
      </w:r>
    </w:p>
    <w:p>
      <w:pPr>
        <w:pStyle w:val="Compact"/>
        <w:numPr>
          <w:ilvl w:val="0"/>
          <w:numId w:val="1041"/>
        </w:numPr>
      </w:pPr>
      <w:r>
        <w:rPr>
          <w:b/>
          <w:bCs/>
        </w:rPr>
        <w:t xml:space="preserve">Likelihood:</w:t>
      </w:r>
      <w:r>
        <w:t xml:space="preserve"> </w:t>
      </w:r>
      <w:r>
        <w:t xml:space="preserve">LOW - With proper controls</w:t>
      </w:r>
    </w:p>
    <w:p>
      <w:pPr>
        <w:pStyle w:val="Compact"/>
        <w:numPr>
          <w:ilvl w:val="0"/>
          <w:numId w:val="1041"/>
        </w:numPr>
      </w:pPr>
      <w:r>
        <w:rPr>
          <w:b/>
          <w:bCs/>
        </w:rPr>
        <w:t xml:space="preserve">Risk Score:</w:t>
      </w:r>
      <w:r>
        <w:t xml:space="preserve"> </w:t>
      </w:r>
      <w:r>
        <w:t xml:space="preserve">MEDIUM-HIGH</w:t>
      </w:r>
    </w:p>
    <w:p>
      <w:pPr>
        <w:pStyle w:val="FirstParagraph"/>
      </w:pPr>
      <w:r>
        <w:rPr>
          <w:b/>
          <w:bCs/>
        </w:rPr>
        <w:t xml:space="preserve">Mitigation Measures:</w:t>
      </w:r>
      <w:r>
        <w:t xml:space="preserve"> </w:t>
      </w:r>
      <w:r>
        <w:t xml:space="preserve">1.</w:t>
      </w:r>
      <w:r>
        <w:t xml:space="preserve"> </w:t>
      </w:r>
      <w:r>
        <w:rPr>
          <w:b/>
          <w:bCs/>
        </w:rPr>
        <w:t xml:space="preserve">Privacy by Design</w:t>
      </w:r>
      <w:r>
        <w:t xml:space="preserve"> </w:t>
      </w:r>
      <w:r>
        <w:t xml:space="preserve">- Data minimization principles</w:t>
      </w:r>
      <w:r>
        <w:t xml:space="preserve"> </w:t>
      </w:r>
      <w:r>
        <w:t xml:space="preserve">- Purpose limitation for data collection</w:t>
      </w:r>
      <w:r>
        <w:t xml:space="preserve"> </w:t>
      </w:r>
      <w:r>
        <w:t xml:space="preserve">- Privacy impact assessment completed</w:t>
      </w:r>
    </w:p>
    <w:p>
      <w:pPr>
        <w:pStyle w:val="Compact"/>
        <w:numPr>
          <w:ilvl w:val="0"/>
          <w:numId w:val="1042"/>
        </w:numPr>
      </w:pPr>
      <w:r>
        <w:rPr>
          <w:b/>
          <w:bCs/>
        </w:rPr>
        <w:t xml:space="preserve">Consent Management</w:t>
      </w:r>
    </w:p>
    <w:p>
      <w:pPr>
        <w:pStyle w:val="Compact"/>
        <w:numPr>
          <w:ilvl w:val="1"/>
          <w:numId w:val="1043"/>
        </w:numPr>
      </w:pPr>
      <w:r>
        <w:t xml:space="preserve">Clear privacy notices</w:t>
      </w:r>
    </w:p>
    <w:p>
      <w:pPr>
        <w:pStyle w:val="Compact"/>
        <w:numPr>
          <w:ilvl w:val="1"/>
          <w:numId w:val="1043"/>
        </w:numPr>
      </w:pPr>
      <w:r>
        <w:t xml:space="preserve">Explicit consent for data processing</w:t>
      </w:r>
    </w:p>
    <w:p>
      <w:pPr>
        <w:pStyle w:val="Compact"/>
        <w:numPr>
          <w:ilvl w:val="1"/>
          <w:numId w:val="1043"/>
        </w:numPr>
      </w:pPr>
      <w:r>
        <w:t xml:space="preserve">Easy opt-out mechanisms</w:t>
      </w:r>
    </w:p>
    <w:p>
      <w:pPr>
        <w:pStyle w:val="Compact"/>
        <w:numPr>
          <w:ilvl w:val="0"/>
          <w:numId w:val="1042"/>
        </w:numPr>
      </w:pPr>
      <w:r>
        <w:rPr>
          <w:b/>
          <w:bCs/>
        </w:rPr>
        <w:t xml:space="preserve">Data Subject Rights</w:t>
      </w:r>
    </w:p>
    <w:p>
      <w:pPr>
        <w:pStyle w:val="Compact"/>
        <w:numPr>
          <w:ilvl w:val="1"/>
          <w:numId w:val="1044"/>
        </w:numPr>
      </w:pPr>
      <w:r>
        <w:t xml:space="preserve">Process for access requests (30-day SLA)</w:t>
      </w:r>
    </w:p>
    <w:p>
      <w:pPr>
        <w:pStyle w:val="Compact"/>
        <w:numPr>
          <w:ilvl w:val="1"/>
          <w:numId w:val="1044"/>
        </w:numPr>
      </w:pPr>
      <w:r>
        <w:t xml:space="preserve">Right to deletion/correction capabilities</w:t>
      </w:r>
    </w:p>
    <w:p>
      <w:pPr>
        <w:pStyle w:val="Compact"/>
        <w:numPr>
          <w:ilvl w:val="1"/>
          <w:numId w:val="1044"/>
        </w:numPr>
      </w:pPr>
      <w:r>
        <w:t xml:space="preserve">Data portability support</w:t>
      </w:r>
    </w:p>
    <w:p>
      <w:pPr>
        <w:pStyle w:val="Compact"/>
        <w:numPr>
          <w:ilvl w:val="0"/>
          <w:numId w:val="1042"/>
        </w:numPr>
      </w:pPr>
      <w:r>
        <w:rPr>
          <w:b/>
          <w:bCs/>
        </w:rPr>
        <w:t xml:space="preserve">Data Sovereignty (NZ-Only Operation)</w:t>
      </w:r>
    </w:p>
    <w:p>
      <w:pPr>
        <w:pStyle w:val="Compact"/>
        <w:numPr>
          <w:ilvl w:val="1"/>
          <w:numId w:val="1045"/>
        </w:numPr>
      </w:pPr>
      <w:r>
        <w:t xml:space="preserve">All data stored and processed within New Zealand</w:t>
      </w:r>
    </w:p>
    <w:p>
      <w:pPr>
        <w:pStyle w:val="Compact"/>
        <w:numPr>
          <w:ilvl w:val="1"/>
          <w:numId w:val="1045"/>
        </w:numPr>
      </w:pPr>
      <w:r>
        <w:t xml:space="preserve">No cross-border data transfers (NZ-only deployment)</w:t>
      </w:r>
    </w:p>
    <w:p>
      <w:pPr>
        <w:pStyle w:val="Compact"/>
        <w:numPr>
          <w:ilvl w:val="1"/>
          <w:numId w:val="1045"/>
        </w:numPr>
      </w:pPr>
      <w:r>
        <w:t xml:space="preserve">Full compliance with NZ Privacy Act 2020</w:t>
      </w:r>
    </w:p>
    <w:p>
      <w:r>
        <w:pict>
          <v:rect style="width:0;height:1.5pt" o:hralign="center" o:hrstd="t" o:hr="t"/>
        </w:pict>
      </w:r>
    </w:p>
    <w:bookmarkEnd w:id="25"/>
    <w:bookmarkEnd w:id="26"/>
    <w:bookmarkStart w:id="29" w:name="reputational-risks"/>
    <w:p>
      <w:pPr>
        <w:pStyle w:val="Heading3"/>
      </w:pPr>
      <w:r>
        <w:t xml:space="preserve">2.3 Reputational Risks</w:t>
      </w:r>
    </w:p>
    <w:bookmarkStart w:id="27" w:name="risk-negative-publicity-from-ai-errors"/>
    <w:p>
      <w:pPr>
        <w:pStyle w:val="Heading4"/>
      </w:pPr>
      <w:r>
        <w:t xml:space="preserve">Risk: Negative Publicity from AI Errors</w:t>
      </w:r>
    </w:p>
    <w:p>
      <w:pPr>
        <w:pStyle w:val="Compact"/>
        <w:numPr>
          <w:ilvl w:val="0"/>
          <w:numId w:val="1046"/>
        </w:numPr>
      </w:pPr>
      <w:r>
        <w:rPr>
          <w:b/>
          <w:bCs/>
        </w:rPr>
        <w:t xml:space="preserve">Impact:</w:t>
      </w:r>
      <w:r>
        <w:t xml:space="preserve"> </w:t>
      </w:r>
      <w:r>
        <w:t xml:space="preserve">HIGH - Loss of trust, customer churn</w:t>
      </w:r>
    </w:p>
    <w:p>
      <w:pPr>
        <w:pStyle w:val="Compact"/>
        <w:numPr>
          <w:ilvl w:val="0"/>
          <w:numId w:val="1046"/>
        </w:numPr>
      </w:pPr>
      <w:r>
        <w:rPr>
          <w:b/>
          <w:bCs/>
        </w:rPr>
        <w:t xml:space="preserve">Likelihood:</w:t>
      </w:r>
      <w:r>
        <w:t xml:space="preserve"> </w:t>
      </w:r>
      <w:r>
        <w:t xml:space="preserve">MEDIUM - Public scrutiny of AI systems</w:t>
      </w:r>
    </w:p>
    <w:p>
      <w:pPr>
        <w:pStyle w:val="Compact"/>
        <w:numPr>
          <w:ilvl w:val="0"/>
          <w:numId w:val="1046"/>
        </w:numPr>
      </w:pPr>
      <w:r>
        <w:rPr>
          <w:b/>
          <w:bCs/>
        </w:rPr>
        <w:t xml:space="preserve">Risk Score:</w:t>
      </w:r>
      <w:r>
        <w:t xml:space="preserve"> </w:t>
      </w:r>
      <w:r>
        <w:t xml:space="preserve">MEDIUM-HIGH</w:t>
      </w:r>
    </w:p>
    <w:p>
      <w:pPr>
        <w:pStyle w:val="FirstParagraph"/>
      </w:pPr>
      <w:r>
        <w:rPr>
          <w:b/>
          <w:bCs/>
        </w:rPr>
        <w:t xml:space="preserve">Mitigation Measures:</w:t>
      </w:r>
      <w:r>
        <w:t xml:space="preserve"> </w:t>
      </w:r>
      <w:r>
        <w:t xml:space="preserve">1.</w:t>
      </w:r>
      <w:r>
        <w:t xml:space="preserve"> </w:t>
      </w:r>
      <w:r>
        <w:rPr>
          <w:b/>
          <w:bCs/>
        </w:rPr>
        <w:t xml:space="preserve">Transparency</w:t>
      </w:r>
      <w:r>
        <w:t xml:space="preserve"> </w:t>
      </w:r>
      <w:r>
        <w:t xml:space="preserve">- Public disclosure of AI use and limitations</w:t>
      </w:r>
      <w:r>
        <w:t xml:space="preserve"> </w:t>
      </w:r>
      <w:r>
        <w:t xml:space="preserve">- Explanation of how AI reaches decisions</w:t>
      </w:r>
      <w:r>
        <w:t xml:space="preserve"> </w:t>
      </w:r>
      <w:r>
        <w:t xml:space="preserve">- Clear communication on confidence levels</w:t>
      </w:r>
    </w:p>
    <w:p>
      <w:pPr>
        <w:pStyle w:val="Compact"/>
        <w:numPr>
          <w:ilvl w:val="0"/>
          <w:numId w:val="1047"/>
        </w:numPr>
      </w:pPr>
      <w:r>
        <w:rPr>
          <w:b/>
          <w:bCs/>
        </w:rPr>
        <w:t xml:space="preserve">Communication Strategy</w:t>
      </w:r>
    </w:p>
    <w:p>
      <w:pPr>
        <w:pStyle w:val="Compact"/>
        <w:numPr>
          <w:ilvl w:val="1"/>
          <w:numId w:val="1048"/>
        </w:numPr>
      </w:pPr>
      <w:r>
        <w:t xml:space="preserve">Pre-prepared crisis communication plan</w:t>
      </w:r>
    </w:p>
    <w:p>
      <w:pPr>
        <w:pStyle w:val="Compact"/>
        <w:numPr>
          <w:ilvl w:val="1"/>
          <w:numId w:val="1048"/>
        </w:numPr>
      </w:pPr>
      <w:r>
        <w:t xml:space="preserve">Designated spokespersons trained on AI</w:t>
      </w:r>
    </w:p>
    <w:p>
      <w:pPr>
        <w:pStyle w:val="Compact"/>
        <w:numPr>
          <w:ilvl w:val="1"/>
          <w:numId w:val="1048"/>
        </w:numPr>
      </w:pPr>
      <w:r>
        <w:t xml:space="preserve">Rapid response protocols for incidents</w:t>
      </w:r>
    </w:p>
    <w:p>
      <w:pPr>
        <w:pStyle w:val="Compact"/>
        <w:numPr>
          <w:ilvl w:val="0"/>
          <w:numId w:val="1047"/>
        </w:numPr>
      </w:pPr>
      <w:r>
        <w:rPr>
          <w:b/>
          <w:bCs/>
        </w:rPr>
        <w:t xml:space="preserve">Stakeholder Education</w:t>
      </w:r>
    </w:p>
    <w:p>
      <w:pPr>
        <w:pStyle w:val="Compact"/>
        <w:numPr>
          <w:ilvl w:val="1"/>
          <w:numId w:val="1049"/>
        </w:numPr>
      </w:pPr>
      <w:r>
        <w:t xml:space="preserve">Educational materials on AI capabilities/limits</w:t>
      </w:r>
    </w:p>
    <w:p>
      <w:pPr>
        <w:pStyle w:val="Compact"/>
        <w:numPr>
          <w:ilvl w:val="1"/>
          <w:numId w:val="1049"/>
        </w:numPr>
      </w:pPr>
      <w:r>
        <w:t xml:space="preserve">Case studies of successful assessments</w:t>
      </w:r>
    </w:p>
    <w:p>
      <w:pPr>
        <w:pStyle w:val="Compact"/>
        <w:numPr>
          <w:ilvl w:val="1"/>
          <w:numId w:val="1049"/>
        </w:numPr>
      </w:pPr>
      <w:r>
        <w:t xml:space="preserve">Regular stakeholder briefings</w:t>
      </w:r>
    </w:p>
    <w:p>
      <w:pPr>
        <w:pStyle w:val="Compact"/>
        <w:numPr>
          <w:ilvl w:val="0"/>
          <w:numId w:val="1047"/>
        </w:numPr>
      </w:pPr>
      <w:r>
        <w:rPr>
          <w:b/>
          <w:bCs/>
        </w:rPr>
        <w:t xml:space="preserve">Quality Commitment</w:t>
      </w:r>
    </w:p>
    <w:p>
      <w:pPr>
        <w:pStyle w:val="Compact"/>
        <w:numPr>
          <w:ilvl w:val="1"/>
          <w:numId w:val="1050"/>
        </w:numPr>
      </w:pPr>
      <w:r>
        <w:t xml:space="preserve">Public commitment to accuracy targets</w:t>
      </w:r>
    </w:p>
    <w:p>
      <w:pPr>
        <w:pStyle w:val="Compact"/>
        <w:numPr>
          <w:ilvl w:val="1"/>
          <w:numId w:val="1050"/>
        </w:numPr>
      </w:pPr>
      <w:r>
        <w:t xml:space="preserve">Regular publication of performance metrics</w:t>
      </w:r>
    </w:p>
    <w:p>
      <w:pPr>
        <w:pStyle w:val="Compact"/>
        <w:numPr>
          <w:ilvl w:val="1"/>
          <w:numId w:val="1050"/>
        </w:numPr>
      </w:pPr>
      <w:r>
        <w:t xml:space="preserve">Independent third-party audits</w:t>
      </w:r>
    </w:p>
    <w:p>
      <w:r>
        <w:pict>
          <v:rect style="width:0;height:1.5pt" o:hralign="center" o:hrstd="t" o:hr="t"/>
        </w:pict>
      </w:r>
    </w:p>
    <w:bookmarkEnd w:id="27"/>
    <w:bookmarkStart w:id="28" w:name="X9f22142190728ea033db18934a632279e00a64b"/>
    <w:p>
      <w:pPr>
        <w:pStyle w:val="Heading4"/>
      </w:pPr>
      <w:r>
        <w:t xml:space="preserve">Risk: Loss of Client Trust in AI Decisions</w:t>
      </w:r>
    </w:p>
    <w:p>
      <w:pPr>
        <w:pStyle w:val="Compact"/>
        <w:numPr>
          <w:ilvl w:val="0"/>
          <w:numId w:val="1051"/>
        </w:numPr>
      </w:pPr>
      <w:r>
        <w:rPr>
          <w:b/>
          <w:bCs/>
        </w:rPr>
        <w:t xml:space="preserve">Impact:</w:t>
      </w:r>
      <w:r>
        <w:t xml:space="preserve"> </w:t>
      </w:r>
      <w:r>
        <w:t xml:space="preserve">HIGH - Customer attrition</w:t>
      </w:r>
    </w:p>
    <w:p>
      <w:pPr>
        <w:pStyle w:val="Compact"/>
        <w:numPr>
          <w:ilvl w:val="0"/>
          <w:numId w:val="1051"/>
        </w:numPr>
      </w:pPr>
      <w:r>
        <w:rPr>
          <w:b/>
          <w:bCs/>
        </w:rPr>
        <w:t xml:space="preserve">Likelihood:</w:t>
      </w:r>
      <w:r>
        <w:t xml:space="preserve"> </w:t>
      </w:r>
      <w:r>
        <w:t xml:space="preserve">MEDIUM - Skepticism about AI</w:t>
      </w:r>
    </w:p>
    <w:p>
      <w:pPr>
        <w:pStyle w:val="Compact"/>
        <w:numPr>
          <w:ilvl w:val="0"/>
          <w:numId w:val="1051"/>
        </w:numPr>
      </w:pPr>
      <w:r>
        <w:rPr>
          <w:b/>
          <w:bCs/>
        </w:rPr>
        <w:t xml:space="preserve">Risk Score:</w:t>
      </w:r>
      <w:r>
        <w:t xml:space="preserve"> </w:t>
      </w:r>
      <w:r>
        <w:t xml:space="preserve">MEDIUM-HIGH</w:t>
      </w:r>
    </w:p>
    <w:p>
      <w:pPr>
        <w:pStyle w:val="FirstParagraph"/>
      </w:pPr>
      <w:r>
        <w:rPr>
          <w:b/>
          <w:bCs/>
        </w:rPr>
        <w:t xml:space="preserve">Mitigation Measures:</w:t>
      </w:r>
      <w:r>
        <w:t xml:space="preserve"> </w:t>
      </w:r>
      <w:r>
        <w:t xml:space="preserve">1.</w:t>
      </w:r>
      <w:r>
        <w:t xml:space="preserve"> </w:t>
      </w:r>
      <w:r>
        <w:rPr>
          <w:b/>
          <w:bCs/>
        </w:rPr>
        <w:t xml:space="preserve">Build Confidence Gradually</w:t>
      </w:r>
      <w:r>
        <w:t xml:space="preserve"> </w:t>
      </w:r>
      <w:r>
        <w:t xml:space="preserve">- Start with AI-assisted (not fully automated) decisions</w:t>
      </w:r>
      <w:r>
        <w:t xml:space="preserve"> </w:t>
      </w:r>
      <w:r>
        <w:t xml:space="preserve">- Demonstrate accuracy improvements over time</w:t>
      </w:r>
      <w:r>
        <w:t xml:space="preserve"> </w:t>
      </w:r>
      <w:r>
        <w:t xml:space="preserve">- Pilot programs with early adopter clients</w:t>
      </w:r>
    </w:p>
    <w:p>
      <w:pPr>
        <w:pStyle w:val="Compact"/>
        <w:numPr>
          <w:ilvl w:val="0"/>
          <w:numId w:val="1052"/>
        </w:numPr>
      </w:pPr>
      <w:r>
        <w:rPr>
          <w:b/>
          <w:bCs/>
        </w:rPr>
        <w:t xml:space="preserve">Explainability</w:t>
      </w:r>
    </w:p>
    <w:p>
      <w:pPr>
        <w:pStyle w:val="Compact"/>
        <w:numPr>
          <w:ilvl w:val="1"/>
          <w:numId w:val="1053"/>
        </w:numPr>
      </w:pPr>
      <w:r>
        <w:t xml:space="preserve">Provide reasoning for each prediction</w:t>
      </w:r>
    </w:p>
    <w:p>
      <w:pPr>
        <w:pStyle w:val="Compact"/>
        <w:numPr>
          <w:ilvl w:val="1"/>
          <w:numId w:val="1053"/>
        </w:numPr>
      </w:pPr>
      <w:r>
        <w:t xml:space="preserve">Visual explanations where possible</w:t>
      </w:r>
    </w:p>
    <w:p>
      <w:pPr>
        <w:pStyle w:val="Compact"/>
        <w:numPr>
          <w:ilvl w:val="1"/>
          <w:numId w:val="1053"/>
        </w:numPr>
      </w:pPr>
      <w:r>
        <w:t xml:space="preserve">Access to human experts for questions</w:t>
      </w:r>
    </w:p>
    <w:p>
      <w:pPr>
        <w:pStyle w:val="Compact"/>
        <w:numPr>
          <w:ilvl w:val="0"/>
          <w:numId w:val="1052"/>
        </w:numPr>
      </w:pPr>
      <w:r>
        <w:rPr>
          <w:b/>
          <w:bCs/>
        </w:rPr>
        <w:t xml:space="preserve">Performance Guarantees</w:t>
      </w:r>
    </w:p>
    <w:p>
      <w:pPr>
        <w:pStyle w:val="Compact"/>
        <w:numPr>
          <w:ilvl w:val="1"/>
          <w:numId w:val="1054"/>
        </w:numPr>
      </w:pPr>
      <w:r>
        <w:t xml:space="preserve">Service level agreements (SLAs) for accuracy</w:t>
      </w:r>
    </w:p>
    <w:p>
      <w:pPr>
        <w:pStyle w:val="Compact"/>
        <w:numPr>
          <w:ilvl w:val="1"/>
          <w:numId w:val="1054"/>
        </w:numPr>
      </w:pPr>
      <w:r>
        <w:t xml:space="preserve">Performance-based pricing options</w:t>
      </w:r>
    </w:p>
    <w:p>
      <w:pPr>
        <w:pStyle w:val="Compact"/>
        <w:numPr>
          <w:ilvl w:val="1"/>
          <w:numId w:val="1054"/>
        </w:numPr>
      </w:pPr>
      <w:r>
        <w:t xml:space="preserve">Refund/remediation policies for errors</w:t>
      </w:r>
    </w:p>
    <w:p>
      <w:pPr>
        <w:pStyle w:val="Compact"/>
        <w:numPr>
          <w:ilvl w:val="0"/>
          <w:numId w:val="1052"/>
        </w:numPr>
      </w:pPr>
      <w:r>
        <w:rPr>
          <w:b/>
          <w:bCs/>
        </w:rPr>
        <w:t xml:space="preserve">Customer Success Program</w:t>
      </w:r>
    </w:p>
    <w:p>
      <w:pPr>
        <w:pStyle w:val="Compact"/>
        <w:numPr>
          <w:ilvl w:val="1"/>
          <w:numId w:val="1055"/>
        </w:numPr>
      </w:pPr>
      <w:r>
        <w:t xml:space="preserve">Dedicated onboarding and training</w:t>
      </w:r>
    </w:p>
    <w:p>
      <w:pPr>
        <w:pStyle w:val="Compact"/>
        <w:numPr>
          <w:ilvl w:val="1"/>
          <w:numId w:val="1055"/>
        </w:numPr>
      </w:pPr>
      <w:r>
        <w:t xml:space="preserve">Regular check-ins and feedback sessions</w:t>
      </w:r>
    </w:p>
    <w:p>
      <w:pPr>
        <w:pStyle w:val="Compact"/>
        <w:numPr>
          <w:ilvl w:val="1"/>
          <w:numId w:val="1055"/>
        </w:numPr>
      </w:pPr>
      <w:r>
        <w:t xml:space="preserve">Continuous improvement based on client input</w:t>
      </w:r>
    </w:p>
    <w:p>
      <w:r>
        <w:pict>
          <v:rect style="width:0;height:1.5pt" o:hralign="center" o:hrstd="t" o:hr="t"/>
        </w:pict>
      </w:r>
    </w:p>
    <w:bookmarkEnd w:id="28"/>
    <w:bookmarkEnd w:id="29"/>
    <w:bookmarkEnd w:id="30"/>
    <w:bookmarkStart w:id="37" w:name="ai-specific-risks"/>
    <w:p>
      <w:pPr>
        <w:pStyle w:val="Heading2"/>
      </w:pPr>
      <w:r>
        <w:t xml:space="preserve">3. AI-Specific Risks</w:t>
      </w:r>
    </w:p>
    <w:bookmarkStart w:id="32" w:name="bias-fairness-risks"/>
    <w:p>
      <w:pPr>
        <w:pStyle w:val="Heading3"/>
      </w:pPr>
      <w:r>
        <w:t xml:space="preserve">3.1 Bias &amp; Fairness Risks</w:t>
      </w:r>
    </w:p>
    <w:bookmarkStart w:id="31" w:name="risk-geographic-or-land-type-bias"/>
    <w:p>
      <w:pPr>
        <w:pStyle w:val="Heading4"/>
      </w:pPr>
      <w:r>
        <w:t xml:space="preserve">Risk: Geographic or Land-Type Bias</w:t>
      </w:r>
    </w:p>
    <w:p>
      <w:pPr>
        <w:pStyle w:val="Compact"/>
        <w:numPr>
          <w:ilvl w:val="0"/>
          <w:numId w:val="1056"/>
        </w:numPr>
      </w:pPr>
      <w:r>
        <w:rPr>
          <w:b/>
          <w:bCs/>
        </w:rPr>
        <w:t xml:space="preserve">Impact:</w:t>
      </w:r>
      <w:r>
        <w:t xml:space="preserve"> </w:t>
      </w:r>
      <w:r>
        <w:t xml:space="preserve">HIGH - Unfair treatment, discrimination claims</w:t>
      </w:r>
    </w:p>
    <w:p>
      <w:pPr>
        <w:pStyle w:val="Compact"/>
        <w:numPr>
          <w:ilvl w:val="0"/>
          <w:numId w:val="1056"/>
        </w:numPr>
      </w:pPr>
      <w:r>
        <w:rPr>
          <w:b/>
          <w:bCs/>
        </w:rPr>
        <w:t xml:space="preserve">Likelihood:</w:t>
      </w:r>
      <w:r>
        <w:t xml:space="preserve"> </w:t>
      </w:r>
      <w:r>
        <w:t xml:space="preserve">MEDIUM - Inherent in training data</w:t>
      </w:r>
    </w:p>
    <w:p>
      <w:pPr>
        <w:pStyle w:val="Compact"/>
        <w:numPr>
          <w:ilvl w:val="0"/>
          <w:numId w:val="1056"/>
        </w:numPr>
      </w:pPr>
      <w:r>
        <w:rPr>
          <w:b/>
          <w:bCs/>
        </w:rPr>
        <w:t xml:space="preserve">Risk Score:</w:t>
      </w:r>
      <w:r>
        <w:t xml:space="preserve"> </w:t>
      </w:r>
      <w:r>
        <w:t xml:space="preserve">MEDIUM-HIGH</w:t>
      </w:r>
    </w:p>
    <w:p>
      <w:pPr>
        <w:pStyle w:val="FirstParagraph"/>
      </w:pPr>
      <w:r>
        <w:rPr>
          <w:b/>
          <w:bCs/>
        </w:rPr>
        <w:t xml:space="preserve">Mitigation Measures:</w:t>
      </w:r>
      <w:r>
        <w:t xml:space="preserve"> </w:t>
      </w:r>
      <w:r>
        <w:t xml:space="preserve">1.</w:t>
      </w:r>
      <w:r>
        <w:t xml:space="preserve"> </w:t>
      </w:r>
      <w:r>
        <w:rPr>
          <w:b/>
          <w:bCs/>
        </w:rPr>
        <w:t xml:space="preserve">Bias Testing</w:t>
      </w:r>
      <w:r>
        <w:t xml:space="preserve"> </w:t>
      </w:r>
      <w:r>
        <w:t xml:space="preserve">- Regular fairness audits across all regions</w:t>
      </w:r>
      <w:r>
        <w:t xml:space="preserve"> </w:t>
      </w:r>
      <w:r>
        <w:t xml:space="preserve">- Statistical parity analysis</w:t>
      </w:r>
      <w:r>
        <w:t xml:space="preserve"> </w:t>
      </w:r>
      <w:r>
        <w:t xml:space="preserve">- Disparate impact assessments</w:t>
      </w:r>
    </w:p>
    <w:p>
      <w:pPr>
        <w:pStyle w:val="Compact"/>
        <w:numPr>
          <w:ilvl w:val="0"/>
          <w:numId w:val="1057"/>
        </w:numPr>
      </w:pPr>
      <w:r>
        <w:rPr>
          <w:b/>
          <w:bCs/>
        </w:rPr>
        <w:t xml:space="preserve">Balanced Training Data</w:t>
      </w:r>
    </w:p>
    <w:p>
      <w:pPr>
        <w:pStyle w:val="Compact"/>
        <w:numPr>
          <w:ilvl w:val="1"/>
          <w:numId w:val="1058"/>
        </w:numPr>
      </w:pPr>
      <w:r>
        <w:t xml:space="preserve">Ensure representation from all NZ regions</w:t>
      </w:r>
    </w:p>
    <w:p>
      <w:pPr>
        <w:pStyle w:val="Compact"/>
        <w:numPr>
          <w:ilvl w:val="1"/>
          <w:numId w:val="1058"/>
        </w:numPr>
      </w:pPr>
      <w:r>
        <w:t xml:space="preserve">Oversample underrepresented land types</w:t>
      </w:r>
    </w:p>
    <w:p>
      <w:pPr>
        <w:pStyle w:val="Compact"/>
        <w:numPr>
          <w:ilvl w:val="1"/>
          <w:numId w:val="1058"/>
        </w:numPr>
      </w:pPr>
      <w:r>
        <w:t xml:space="preserve">Continuous expansion of training dataset</w:t>
      </w:r>
    </w:p>
    <w:p>
      <w:pPr>
        <w:pStyle w:val="Compact"/>
        <w:numPr>
          <w:ilvl w:val="0"/>
          <w:numId w:val="1057"/>
        </w:numPr>
      </w:pPr>
      <w:r>
        <w:rPr>
          <w:b/>
          <w:bCs/>
        </w:rPr>
        <w:t xml:space="preserve">Fairness Metrics</w:t>
      </w:r>
    </w:p>
    <w:p>
      <w:pPr>
        <w:pStyle w:val="Compact"/>
        <w:numPr>
          <w:ilvl w:val="1"/>
          <w:numId w:val="1059"/>
        </w:numPr>
      </w:pPr>
      <w:r>
        <w:t xml:space="preserve">Track performance across demographic groups</w:t>
      </w:r>
    </w:p>
    <w:p>
      <w:pPr>
        <w:pStyle w:val="Compact"/>
        <w:numPr>
          <w:ilvl w:val="1"/>
          <w:numId w:val="1059"/>
        </w:numPr>
      </w:pPr>
      <w:r>
        <w:t xml:space="preserve">Set minimum performance thresholds per group</w:t>
      </w:r>
    </w:p>
    <w:p>
      <w:pPr>
        <w:pStyle w:val="Compact"/>
        <w:numPr>
          <w:ilvl w:val="1"/>
          <w:numId w:val="1059"/>
        </w:numPr>
      </w:pPr>
      <w:r>
        <w:t xml:space="preserve">Remediate identified disparities</w:t>
      </w:r>
    </w:p>
    <w:p>
      <w:pPr>
        <w:pStyle w:val="Compact"/>
        <w:numPr>
          <w:ilvl w:val="0"/>
          <w:numId w:val="1057"/>
        </w:numPr>
      </w:pPr>
      <w:r>
        <w:rPr>
          <w:b/>
          <w:bCs/>
        </w:rPr>
        <w:t xml:space="preserve">Independent Review</w:t>
      </w:r>
    </w:p>
    <w:p>
      <w:pPr>
        <w:pStyle w:val="Compact"/>
        <w:numPr>
          <w:ilvl w:val="1"/>
          <w:numId w:val="1060"/>
        </w:numPr>
      </w:pPr>
      <w:r>
        <w:t xml:space="preserve">Ethics committee review of bias reports</w:t>
      </w:r>
    </w:p>
    <w:p>
      <w:pPr>
        <w:pStyle w:val="Compact"/>
        <w:numPr>
          <w:ilvl w:val="1"/>
          <w:numId w:val="1060"/>
        </w:numPr>
      </w:pPr>
      <w:r>
        <w:t xml:space="preserve">External fairness audits annually</w:t>
      </w:r>
    </w:p>
    <w:p>
      <w:pPr>
        <w:pStyle w:val="Compact"/>
        <w:numPr>
          <w:ilvl w:val="1"/>
          <w:numId w:val="1060"/>
        </w:numPr>
      </w:pPr>
      <w:r>
        <w:t xml:space="preserve">Stakeholder input from affected communities</w:t>
      </w:r>
    </w:p>
    <w:p>
      <w:r>
        <w:pict>
          <v:rect style="width:0;height:1.5pt" o:hralign="center" o:hrstd="t" o:hr="t"/>
        </w:pict>
      </w:r>
    </w:p>
    <w:bookmarkEnd w:id="31"/>
    <w:bookmarkEnd w:id="32"/>
    <w:bookmarkStart w:id="34" w:name="adversarial-manipulation-risks"/>
    <w:p>
      <w:pPr>
        <w:pStyle w:val="Heading3"/>
      </w:pPr>
      <w:r>
        <w:t xml:space="preserve">3.2 Adversarial &amp; Manipulation Risks</w:t>
      </w:r>
    </w:p>
    <w:bookmarkStart w:id="33" w:name="Xeb2f98baa3c5a758cef7f053bf0061e78d4afa9"/>
    <w:p>
      <w:pPr>
        <w:pStyle w:val="Heading4"/>
      </w:pPr>
      <w:r>
        <w:t xml:space="preserve">Risk: Adversarial Attacks or Gaming the System</w:t>
      </w:r>
    </w:p>
    <w:p>
      <w:pPr>
        <w:pStyle w:val="Compact"/>
        <w:numPr>
          <w:ilvl w:val="0"/>
          <w:numId w:val="1061"/>
        </w:numPr>
      </w:pPr>
      <w:r>
        <w:rPr>
          <w:b/>
          <w:bCs/>
        </w:rPr>
        <w:t xml:space="preserve">Impact:</w:t>
      </w:r>
      <w:r>
        <w:t xml:space="preserve"> </w:t>
      </w:r>
      <w:r>
        <w:t xml:space="preserve">HIGH - Fraudulent approvals</w:t>
      </w:r>
    </w:p>
    <w:p>
      <w:pPr>
        <w:pStyle w:val="Compact"/>
        <w:numPr>
          <w:ilvl w:val="0"/>
          <w:numId w:val="1061"/>
        </w:numPr>
      </w:pPr>
      <w:r>
        <w:rPr>
          <w:b/>
          <w:bCs/>
        </w:rPr>
        <w:t xml:space="preserve">Likelihood:</w:t>
      </w:r>
      <w:r>
        <w:t xml:space="preserve"> </w:t>
      </w:r>
      <w:r>
        <w:t xml:space="preserve">LOW - Requires sophisticated attack</w:t>
      </w:r>
    </w:p>
    <w:p>
      <w:pPr>
        <w:pStyle w:val="Compact"/>
        <w:numPr>
          <w:ilvl w:val="0"/>
          <w:numId w:val="1061"/>
        </w:numPr>
      </w:pPr>
      <w:r>
        <w:rPr>
          <w:b/>
          <w:bCs/>
        </w:rPr>
        <w:t xml:space="preserve">Risk Score:</w:t>
      </w:r>
      <w:r>
        <w:t xml:space="preserve"> </w:t>
      </w:r>
      <w:r>
        <w:t xml:space="preserve">MEDIUM</w:t>
      </w:r>
    </w:p>
    <w:p>
      <w:pPr>
        <w:pStyle w:val="FirstParagraph"/>
      </w:pPr>
      <w:r>
        <w:rPr>
          <w:b/>
          <w:bCs/>
        </w:rPr>
        <w:t xml:space="preserve">Mitigation Measures:</w:t>
      </w:r>
      <w:r>
        <w:t xml:space="preserve"> </w:t>
      </w:r>
      <w:r>
        <w:t xml:space="preserve">1.</w:t>
      </w:r>
      <w:r>
        <w:t xml:space="preserve"> </w:t>
      </w:r>
      <w:r>
        <w:rPr>
          <w:b/>
          <w:bCs/>
        </w:rPr>
        <w:t xml:space="preserve">Anomaly Detection</w:t>
      </w:r>
      <w:r>
        <w:t xml:space="preserve"> </w:t>
      </w:r>
      <w:r>
        <w:t xml:space="preserve">- Statistical outlier detection</w:t>
      </w:r>
      <w:r>
        <w:t xml:space="preserve"> </w:t>
      </w:r>
      <w:r>
        <w:t xml:space="preserve">- Pattern recognition for suspicious submissions</w:t>
      </w:r>
      <w:r>
        <w:t xml:space="preserve"> </w:t>
      </w:r>
      <w:r>
        <w:t xml:space="preserve">- Cross-reference with historical data</w:t>
      </w:r>
    </w:p>
    <w:p>
      <w:pPr>
        <w:pStyle w:val="Compact"/>
        <w:numPr>
          <w:ilvl w:val="0"/>
          <w:numId w:val="1062"/>
        </w:numPr>
      </w:pPr>
      <w:r>
        <w:rPr>
          <w:b/>
          <w:bCs/>
        </w:rPr>
        <w:t xml:space="preserve">Input Validation</w:t>
      </w:r>
    </w:p>
    <w:p>
      <w:pPr>
        <w:pStyle w:val="Compact"/>
        <w:numPr>
          <w:ilvl w:val="1"/>
          <w:numId w:val="1063"/>
        </w:numPr>
      </w:pPr>
      <w:r>
        <w:t xml:space="preserve">Metadata verification (GPS, timestamp)</w:t>
      </w:r>
    </w:p>
    <w:p>
      <w:pPr>
        <w:pStyle w:val="Compact"/>
        <w:numPr>
          <w:ilvl w:val="1"/>
          <w:numId w:val="1063"/>
        </w:numPr>
      </w:pPr>
      <w:r>
        <w:t xml:space="preserve">Image forensics for manipulation detection</w:t>
      </w:r>
    </w:p>
    <w:p>
      <w:pPr>
        <w:pStyle w:val="Compact"/>
        <w:numPr>
          <w:ilvl w:val="1"/>
          <w:numId w:val="1063"/>
        </w:numPr>
      </w:pPr>
      <w:r>
        <w:t xml:space="preserve">Source verification requirements</w:t>
      </w:r>
    </w:p>
    <w:p>
      <w:pPr>
        <w:pStyle w:val="Compact"/>
        <w:numPr>
          <w:ilvl w:val="0"/>
          <w:numId w:val="1062"/>
        </w:numPr>
      </w:pPr>
      <w:r>
        <w:rPr>
          <w:b/>
          <w:bCs/>
        </w:rPr>
        <w:t xml:space="preserve">Security Testing</w:t>
      </w:r>
    </w:p>
    <w:p>
      <w:pPr>
        <w:pStyle w:val="Compact"/>
        <w:numPr>
          <w:ilvl w:val="1"/>
          <w:numId w:val="1064"/>
        </w:numPr>
      </w:pPr>
      <w:r>
        <w:t xml:space="preserve">Regular adversarial testing</w:t>
      </w:r>
    </w:p>
    <w:p>
      <w:pPr>
        <w:pStyle w:val="Compact"/>
        <w:numPr>
          <w:ilvl w:val="1"/>
          <w:numId w:val="1064"/>
        </w:numPr>
      </w:pPr>
      <w:r>
        <w:t xml:space="preserve">Red team exercises</w:t>
      </w:r>
    </w:p>
    <w:p>
      <w:pPr>
        <w:pStyle w:val="Compact"/>
        <w:numPr>
          <w:ilvl w:val="1"/>
          <w:numId w:val="1064"/>
        </w:numPr>
      </w:pPr>
      <w:r>
        <w:t xml:space="preserve">Penetration testing of API</w:t>
      </w:r>
    </w:p>
    <w:p>
      <w:pPr>
        <w:pStyle w:val="Compact"/>
        <w:numPr>
          <w:ilvl w:val="0"/>
          <w:numId w:val="1062"/>
        </w:numPr>
      </w:pPr>
      <w:r>
        <w:rPr>
          <w:b/>
          <w:bCs/>
        </w:rPr>
        <w:t xml:space="preserve">Investigation Protocols</w:t>
      </w:r>
    </w:p>
    <w:p>
      <w:pPr>
        <w:pStyle w:val="Compact"/>
        <w:numPr>
          <w:ilvl w:val="1"/>
          <w:numId w:val="1065"/>
        </w:numPr>
      </w:pPr>
      <w:r>
        <w:t xml:space="preserve">Suspicious activity flagging and review</w:t>
      </w:r>
    </w:p>
    <w:p>
      <w:pPr>
        <w:pStyle w:val="Compact"/>
        <w:numPr>
          <w:ilvl w:val="1"/>
          <w:numId w:val="1065"/>
        </w:numPr>
      </w:pPr>
      <w:r>
        <w:t xml:space="preserve">Fraud investigation procedures</w:t>
      </w:r>
    </w:p>
    <w:p>
      <w:pPr>
        <w:pStyle w:val="Compact"/>
        <w:numPr>
          <w:ilvl w:val="1"/>
          <w:numId w:val="1065"/>
        </w:numPr>
      </w:pPr>
      <w:r>
        <w:t xml:space="preserve">Legal recourse for confirmed fraud</w:t>
      </w:r>
    </w:p>
    <w:p>
      <w:r>
        <w:pict>
          <v:rect style="width:0;height:1.5pt" o:hralign="center" o:hrstd="t" o:hr="t"/>
        </w:pict>
      </w:r>
    </w:p>
    <w:bookmarkEnd w:id="33"/>
    <w:bookmarkEnd w:id="34"/>
    <w:bookmarkStart w:id="36" w:name="interpretability-explainability-risks"/>
    <w:p>
      <w:pPr>
        <w:pStyle w:val="Heading3"/>
      </w:pPr>
      <w:r>
        <w:t xml:space="preserve">3.3 Interpretability &amp; Explainability Risks</w:t>
      </w:r>
    </w:p>
    <w:bookmarkStart w:id="35" w:name="X88797c3cb301b11ac6796bb8847e81b3823d224"/>
    <w:p>
      <w:pPr>
        <w:pStyle w:val="Heading4"/>
      </w:pPr>
      <w:r>
        <w:t xml:space="preserve">Risk: Inability to Explain AI Decisions to Stakeholders</w:t>
      </w:r>
    </w:p>
    <w:p>
      <w:pPr>
        <w:pStyle w:val="Compact"/>
        <w:numPr>
          <w:ilvl w:val="0"/>
          <w:numId w:val="1066"/>
        </w:numPr>
      </w:pPr>
      <w:r>
        <w:rPr>
          <w:b/>
          <w:bCs/>
        </w:rPr>
        <w:t xml:space="preserve">Impact:</w:t>
      </w:r>
      <w:r>
        <w:t xml:space="preserve"> </w:t>
      </w:r>
      <w:r>
        <w:t xml:space="preserve">MEDIUM - Reduced trust, compliance issues</w:t>
      </w:r>
    </w:p>
    <w:p>
      <w:pPr>
        <w:pStyle w:val="Compact"/>
        <w:numPr>
          <w:ilvl w:val="0"/>
          <w:numId w:val="1066"/>
        </w:numPr>
      </w:pPr>
      <w:r>
        <w:rPr>
          <w:b/>
          <w:bCs/>
        </w:rPr>
        <w:t xml:space="preserve">Likelihood:</w:t>
      </w:r>
      <w:r>
        <w:t xml:space="preserve"> </w:t>
      </w:r>
      <w:r>
        <w:t xml:space="preserve">MEDIUM - Complex neural networks</w:t>
      </w:r>
    </w:p>
    <w:p>
      <w:pPr>
        <w:pStyle w:val="Compact"/>
        <w:numPr>
          <w:ilvl w:val="0"/>
          <w:numId w:val="1066"/>
        </w:numPr>
      </w:pPr>
      <w:r>
        <w:rPr>
          <w:b/>
          <w:bCs/>
        </w:rPr>
        <w:t xml:space="preserve">Risk Score:</w:t>
      </w:r>
      <w:r>
        <w:t xml:space="preserve"> </w:t>
      </w:r>
      <w:r>
        <w:t xml:space="preserve">MEDIUM</w:t>
      </w:r>
    </w:p>
    <w:p>
      <w:pPr>
        <w:pStyle w:val="FirstParagraph"/>
      </w:pPr>
      <w:r>
        <w:rPr>
          <w:b/>
          <w:bCs/>
        </w:rPr>
        <w:t xml:space="preserve">Mitigation Measures:</w:t>
      </w:r>
      <w:r>
        <w:t xml:space="preserve"> </w:t>
      </w:r>
      <w:r>
        <w:t xml:space="preserve">1.</w:t>
      </w:r>
      <w:r>
        <w:t xml:space="preserve"> </w:t>
      </w:r>
      <w:r>
        <w:rPr>
          <w:b/>
          <w:bCs/>
        </w:rPr>
        <w:t xml:space="preserve">Explainability Tools</w:t>
      </w:r>
      <w:r>
        <w:t xml:space="preserve"> </w:t>
      </w:r>
      <w:r>
        <w:t xml:space="preserve">- Confidence scores for all predictions</w:t>
      </w:r>
      <w:r>
        <w:t xml:space="preserve"> </w:t>
      </w:r>
      <w:r>
        <w:t xml:space="preserve">- Feature importance analysis</w:t>
      </w:r>
      <w:r>
        <w:t xml:space="preserve"> </w:t>
      </w:r>
      <w:r>
        <w:t xml:space="preserve">- Visual attention maps (where applicable)</w:t>
      </w:r>
    </w:p>
    <w:p>
      <w:pPr>
        <w:pStyle w:val="Compact"/>
        <w:numPr>
          <w:ilvl w:val="0"/>
          <w:numId w:val="1067"/>
        </w:numPr>
      </w:pPr>
      <w:r>
        <w:rPr>
          <w:b/>
          <w:bCs/>
        </w:rPr>
        <w:t xml:space="preserve">Documentation</w:t>
      </w:r>
    </w:p>
    <w:p>
      <w:pPr>
        <w:pStyle w:val="Compact"/>
        <w:numPr>
          <w:ilvl w:val="1"/>
          <w:numId w:val="1068"/>
        </w:numPr>
      </w:pPr>
      <w:r>
        <w:t xml:space="preserve">Plain-language explanation of model logic</w:t>
      </w:r>
    </w:p>
    <w:p>
      <w:pPr>
        <w:pStyle w:val="Compact"/>
        <w:numPr>
          <w:ilvl w:val="1"/>
          <w:numId w:val="1068"/>
        </w:numPr>
      </w:pPr>
      <w:r>
        <w:t xml:space="preserve">Example-based explanations</w:t>
      </w:r>
    </w:p>
    <w:p>
      <w:pPr>
        <w:pStyle w:val="Compact"/>
        <w:numPr>
          <w:ilvl w:val="1"/>
          <w:numId w:val="1068"/>
        </w:numPr>
      </w:pPr>
      <w:r>
        <w:t xml:space="preserve">Decision flowcharts for stakeholders</w:t>
      </w:r>
    </w:p>
    <w:p>
      <w:pPr>
        <w:pStyle w:val="Compact"/>
        <w:numPr>
          <w:ilvl w:val="0"/>
          <w:numId w:val="1067"/>
        </w:numPr>
      </w:pPr>
      <w:r>
        <w:rPr>
          <w:b/>
          <w:bCs/>
        </w:rPr>
        <w:t xml:space="preserve">Fallback to Experts</w:t>
      </w:r>
    </w:p>
    <w:p>
      <w:pPr>
        <w:pStyle w:val="Compact"/>
        <w:numPr>
          <w:ilvl w:val="1"/>
          <w:numId w:val="1069"/>
        </w:numPr>
      </w:pPr>
      <w:r>
        <w:t xml:space="preserve">Human expert available to explain decisions</w:t>
      </w:r>
    </w:p>
    <w:p>
      <w:pPr>
        <w:pStyle w:val="Compact"/>
        <w:numPr>
          <w:ilvl w:val="1"/>
          <w:numId w:val="1069"/>
        </w:numPr>
      </w:pPr>
      <w:r>
        <w:t xml:space="preserve">Case-by-case investigation for contested decisions</w:t>
      </w:r>
    </w:p>
    <w:p>
      <w:pPr>
        <w:pStyle w:val="Compact"/>
        <w:numPr>
          <w:ilvl w:val="1"/>
          <w:numId w:val="1069"/>
        </w:numPr>
      </w:pPr>
      <w:r>
        <w:t xml:space="preserve">Appeals process with human review</w:t>
      </w:r>
    </w:p>
    <w:p>
      <w:r>
        <w:pict>
          <v:rect style="width:0;height:1.5pt" o:hralign="center" o:hrstd="t" o:hr="t"/>
        </w:pict>
      </w:r>
    </w:p>
    <w:bookmarkEnd w:id="35"/>
    <w:bookmarkEnd w:id="36"/>
    <w:bookmarkEnd w:id="37"/>
    <w:bookmarkStart w:id="42" w:name="implementation-change-management-risks"/>
    <w:p>
      <w:pPr>
        <w:pStyle w:val="Heading2"/>
      </w:pPr>
      <w:r>
        <w:t xml:space="preserve">4. Implementation &amp; Change Management Risks</w:t>
      </w:r>
    </w:p>
    <w:bookmarkStart w:id="39" w:name="user-adoption-risks"/>
    <w:p>
      <w:pPr>
        <w:pStyle w:val="Heading3"/>
      </w:pPr>
      <w:r>
        <w:t xml:space="preserve">4.1 User Adoption Risks</w:t>
      </w:r>
    </w:p>
    <w:bookmarkStart w:id="38" w:name="X2323105a45ff11e33e24186ff8c2de447b2d9cf"/>
    <w:p>
      <w:pPr>
        <w:pStyle w:val="Heading4"/>
      </w:pPr>
      <w:r>
        <w:t xml:space="preserve">Risk: Resistance to AI Adoption from Staff/Customers</w:t>
      </w:r>
    </w:p>
    <w:p>
      <w:pPr>
        <w:pStyle w:val="Compact"/>
        <w:numPr>
          <w:ilvl w:val="0"/>
          <w:numId w:val="1070"/>
        </w:numPr>
      </w:pPr>
      <w:r>
        <w:rPr>
          <w:b/>
          <w:bCs/>
        </w:rPr>
        <w:t xml:space="preserve">Impact:</w:t>
      </w:r>
      <w:r>
        <w:t xml:space="preserve"> </w:t>
      </w:r>
      <w:r>
        <w:t xml:space="preserve">MEDIUM - Slow adoption, underutilization</w:t>
      </w:r>
    </w:p>
    <w:p>
      <w:pPr>
        <w:pStyle w:val="Compact"/>
        <w:numPr>
          <w:ilvl w:val="0"/>
          <w:numId w:val="1070"/>
        </w:numPr>
      </w:pPr>
      <w:r>
        <w:rPr>
          <w:b/>
          <w:bCs/>
        </w:rPr>
        <w:t xml:space="preserve">Likelihood:</w:t>
      </w:r>
      <w:r>
        <w:t xml:space="preserve"> </w:t>
      </w:r>
      <w:r>
        <w:t xml:space="preserve">MEDIUM - Change resistance is common</w:t>
      </w:r>
    </w:p>
    <w:p>
      <w:pPr>
        <w:pStyle w:val="Compact"/>
        <w:numPr>
          <w:ilvl w:val="0"/>
          <w:numId w:val="1070"/>
        </w:numPr>
      </w:pPr>
      <w:r>
        <w:rPr>
          <w:b/>
          <w:bCs/>
        </w:rPr>
        <w:t xml:space="preserve">Risk Score:</w:t>
      </w:r>
      <w:r>
        <w:t xml:space="preserve"> </w:t>
      </w:r>
      <w:r>
        <w:t xml:space="preserve">MEDIUM</w:t>
      </w:r>
    </w:p>
    <w:p>
      <w:pPr>
        <w:pStyle w:val="FirstParagraph"/>
      </w:pPr>
      <w:r>
        <w:rPr>
          <w:b/>
          <w:bCs/>
        </w:rPr>
        <w:t xml:space="preserve">Mitigation Measures:</w:t>
      </w:r>
      <w:r>
        <w:t xml:space="preserve"> </w:t>
      </w:r>
      <w:r>
        <w:t xml:space="preserve">1.</w:t>
      </w:r>
      <w:r>
        <w:t xml:space="preserve"> </w:t>
      </w:r>
      <w:r>
        <w:rPr>
          <w:b/>
          <w:bCs/>
        </w:rPr>
        <w:t xml:space="preserve">Change Management Program</w:t>
      </w:r>
      <w:r>
        <w:t xml:space="preserve"> </w:t>
      </w:r>
      <w:r>
        <w:t xml:space="preserve">- Executive sponsorship and visible support</w:t>
      </w:r>
      <w:r>
        <w:t xml:space="preserve"> </w:t>
      </w:r>
      <w:r>
        <w:t xml:space="preserve">- Clear communication of benefits</w:t>
      </w:r>
      <w:r>
        <w:t xml:space="preserve"> </w:t>
      </w:r>
      <w:r>
        <w:t xml:space="preserve">- Address concerns transparently</w:t>
      </w:r>
    </w:p>
    <w:p>
      <w:pPr>
        <w:pStyle w:val="Compact"/>
        <w:numPr>
          <w:ilvl w:val="0"/>
          <w:numId w:val="1071"/>
        </w:numPr>
      </w:pPr>
      <w:r>
        <w:rPr>
          <w:b/>
          <w:bCs/>
        </w:rPr>
        <w:t xml:space="preserve">Training &amp; Support</w:t>
      </w:r>
    </w:p>
    <w:p>
      <w:pPr>
        <w:pStyle w:val="Compact"/>
        <w:numPr>
          <w:ilvl w:val="1"/>
          <w:numId w:val="1072"/>
        </w:numPr>
      </w:pPr>
      <w:r>
        <w:t xml:space="preserve">Comprehensive training for all users</w:t>
      </w:r>
    </w:p>
    <w:p>
      <w:pPr>
        <w:pStyle w:val="Compact"/>
        <w:numPr>
          <w:ilvl w:val="1"/>
          <w:numId w:val="1072"/>
        </w:numPr>
      </w:pPr>
      <w:r>
        <w:t xml:space="preserve">User guides and video tutorials</w:t>
      </w:r>
    </w:p>
    <w:p>
      <w:pPr>
        <w:pStyle w:val="Compact"/>
        <w:numPr>
          <w:ilvl w:val="1"/>
          <w:numId w:val="1072"/>
        </w:numPr>
      </w:pPr>
      <w:r>
        <w:t xml:space="preserve">Dedicated support team during rollout</w:t>
      </w:r>
    </w:p>
    <w:p>
      <w:pPr>
        <w:pStyle w:val="Compact"/>
        <w:numPr>
          <w:ilvl w:val="0"/>
          <w:numId w:val="1071"/>
        </w:numPr>
      </w:pPr>
      <w:r>
        <w:rPr>
          <w:b/>
          <w:bCs/>
        </w:rPr>
        <w:t xml:space="preserve">Phased Rollout</w:t>
      </w:r>
    </w:p>
    <w:p>
      <w:pPr>
        <w:pStyle w:val="Compact"/>
        <w:numPr>
          <w:ilvl w:val="1"/>
          <w:numId w:val="1073"/>
        </w:numPr>
      </w:pPr>
      <w:r>
        <w:t xml:space="preserve">Pilot with champion users</w:t>
      </w:r>
    </w:p>
    <w:p>
      <w:pPr>
        <w:pStyle w:val="Compact"/>
        <w:numPr>
          <w:ilvl w:val="1"/>
          <w:numId w:val="1073"/>
        </w:numPr>
      </w:pPr>
      <w:r>
        <w:t xml:space="preserve">Gather and incorporate feedback</w:t>
      </w:r>
    </w:p>
    <w:p>
      <w:pPr>
        <w:pStyle w:val="Compact"/>
        <w:numPr>
          <w:ilvl w:val="1"/>
          <w:numId w:val="1073"/>
        </w:numPr>
      </w:pPr>
      <w:r>
        <w:t xml:space="preserve">Gradual expansion based on success</w:t>
      </w:r>
    </w:p>
    <w:p>
      <w:pPr>
        <w:pStyle w:val="Compact"/>
        <w:numPr>
          <w:ilvl w:val="0"/>
          <w:numId w:val="1071"/>
        </w:numPr>
      </w:pPr>
      <w:r>
        <w:rPr>
          <w:b/>
          <w:bCs/>
        </w:rPr>
        <w:t xml:space="preserve">Incentive Alignment</w:t>
      </w:r>
    </w:p>
    <w:p>
      <w:pPr>
        <w:pStyle w:val="Compact"/>
        <w:numPr>
          <w:ilvl w:val="1"/>
          <w:numId w:val="1074"/>
        </w:numPr>
      </w:pPr>
      <w:r>
        <w:t xml:space="preserve">Recognition for early adopters</w:t>
      </w:r>
    </w:p>
    <w:p>
      <w:pPr>
        <w:pStyle w:val="Compact"/>
        <w:numPr>
          <w:ilvl w:val="1"/>
          <w:numId w:val="1074"/>
        </w:numPr>
      </w:pPr>
      <w:r>
        <w:t xml:space="preserve">Performance metrics that encourage AI use</w:t>
      </w:r>
    </w:p>
    <w:p>
      <w:pPr>
        <w:pStyle w:val="Compact"/>
        <w:numPr>
          <w:ilvl w:val="1"/>
          <w:numId w:val="1074"/>
        </w:numPr>
      </w:pPr>
      <w:r>
        <w:t xml:space="preserve">Removal of disincentives to change</w:t>
      </w:r>
    </w:p>
    <w:p>
      <w:r>
        <w:pict>
          <v:rect style="width:0;height:1.5pt" o:hralign="center" o:hrstd="t" o:hr="t"/>
        </w:pict>
      </w:r>
    </w:p>
    <w:bookmarkEnd w:id="38"/>
    <w:bookmarkEnd w:id="39"/>
    <w:bookmarkStart w:id="41" w:name="integration-risks"/>
    <w:p>
      <w:pPr>
        <w:pStyle w:val="Heading3"/>
      </w:pPr>
      <w:r>
        <w:t xml:space="preserve">4.2 Integration Risks</w:t>
      </w:r>
    </w:p>
    <w:bookmarkStart w:id="40" w:name="X7d8a311bd2e0639f5e7b7bdb54c69df4c825a38"/>
    <w:p>
      <w:pPr>
        <w:pStyle w:val="Heading4"/>
      </w:pPr>
      <w:r>
        <w:t xml:space="preserve">Risk: Integration Challenges with Existing Systems</w:t>
      </w:r>
    </w:p>
    <w:p>
      <w:pPr>
        <w:pStyle w:val="Compact"/>
        <w:numPr>
          <w:ilvl w:val="0"/>
          <w:numId w:val="1075"/>
        </w:numPr>
      </w:pPr>
      <w:r>
        <w:rPr>
          <w:b/>
          <w:bCs/>
        </w:rPr>
        <w:t xml:space="preserve">Impact:</w:t>
      </w:r>
      <w:r>
        <w:t xml:space="preserve"> </w:t>
      </w:r>
      <w:r>
        <w:t xml:space="preserve">MEDIUM - Delays, workarounds, inefficiency</w:t>
      </w:r>
    </w:p>
    <w:p>
      <w:pPr>
        <w:pStyle w:val="Compact"/>
        <w:numPr>
          <w:ilvl w:val="0"/>
          <w:numId w:val="1075"/>
        </w:numPr>
      </w:pPr>
      <w:r>
        <w:rPr>
          <w:b/>
          <w:bCs/>
        </w:rPr>
        <w:t xml:space="preserve">Likelihood:</w:t>
      </w:r>
      <w:r>
        <w:t xml:space="preserve"> </w:t>
      </w:r>
      <w:r>
        <w:t xml:space="preserve">MEDIUM - Depends on legacy systems</w:t>
      </w:r>
    </w:p>
    <w:p>
      <w:pPr>
        <w:pStyle w:val="Compact"/>
        <w:numPr>
          <w:ilvl w:val="0"/>
          <w:numId w:val="1075"/>
        </w:numPr>
      </w:pPr>
      <w:r>
        <w:rPr>
          <w:b/>
          <w:bCs/>
        </w:rPr>
        <w:t xml:space="preserve">Risk Score:</w:t>
      </w:r>
      <w:r>
        <w:t xml:space="preserve"> </w:t>
      </w:r>
      <w:r>
        <w:t xml:space="preserve">MEDIUM</w:t>
      </w:r>
    </w:p>
    <w:p>
      <w:pPr>
        <w:pStyle w:val="FirstParagraph"/>
      </w:pPr>
      <w:r>
        <w:rPr>
          <w:b/>
          <w:bCs/>
        </w:rPr>
        <w:t xml:space="preserve">Mitigation Measures:</w:t>
      </w:r>
      <w:r>
        <w:t xml:space="preserve"> </w:t>
      </w:r>
      <w:r>
        <w:t xml:space="preserve">1.</w:t>
      </w:r>
      <w:r>
        <w:t xml:space="preserve"> </w:t>
      </w:r>
      <w:r>
        <w:rPr>
          <w:b/>
          <w:bCs/>
        </w:rPr>
        <w:t xml:space="preserve">Technical Assessment</w:t>
      </w:r>
      <w:r>
        <w:t xml:space="preserve"> </w:t>
      </w:r>
      <w:r>
        <w:t xml:space="preserve">- Pre-implementation compatibility analysis</w:t>
      </w:r>
      <w:r>
        <w:t xml:space="preserve"> </w:t>
      </w:r>
      <w:r>
        <w:t xml:space="preserve">- API design following industry standards (REST, GraphQL)</w:t>
      </w:r>
      <w:r>
        <w:t xml:space="preserve"> </w:t>
      </w:r>
      <w:r>
        <w:t xml:space="preserve">- Adapter patterns for legacy systems</w:t>
      </w:r>
    </w:p>
    <w:p>
      <w:pPr>
        <w:pStyle w:val="Compact"/>
        <w:numPr>
          <w:ilvl w:val="0"/>
          <w:numId w:val="1076"/>
        </w:numPr>
      </w:pPr>
      <w:r>
        <w:rPr>
          <w:b/>
          <w:bCs/>
        </w:rPr>
        <w:t xml:space="preserve">Testing Strategy</w:t>
      </w:r>
    </w:p>
    <w:p>
      <w:pPr>
        <w:pStyle w:val="Compact"/>
        <w:numPr>
          <w:ilvl w:val="1"/>
          <w:numId w:val="1077"/>
        </w:numPr>
      </w:pPr>
      <w:r>
        <w:t xml:space="preserve">Comprehensive integration testing</w:t>
      </w:r>
    </w:p>
    <w:p>
      <w:pPr>
        <w:pStyle w:val="Compact"/>
        <w:numPr>
          <w:ilvl w:val="1"/>
          <w:numId w:val="1077"/>
        </w:numPr>
      </w:pPr>
      <w:r>
        <w:t xml:space="preserve">User acceptance testing (UAT)</w:t>
      </w:r>
    </w:p>
    <w:p>
      <w:pPr>
        <w:pStyle w:val="Compact"/>
        <w:numPr>
          <w:ilvl w:val="1"/>
          <w:numId w:val="1077"/>
        </w:numPr>
      </w:pPr>
      <w:r>
        <w:t xml:space="preserve">Staged rollout with rollback capability</w:t>
      </w:r>
    </w:p>
    <w:p>
      <w:pPr>
        <w:pStyle w:val="Compact"/>
        <w:numPr>
          <w:ilvl w:val="0"/>
          <w:numId w:val="1076"/>
        </w:numPr>
      </w:pPr>
      <w:r>
        <w:rPr>
          <w:b/>
          <w:bCs/>
        </w:rPr>
        <w:t xml:space="preserve">Support Infrastructure</w:t>
      </w:r>
    </w:p>
    <w:p>
      <w:pPr>
        <w:pStyle w:val="Compact"/>
        <w:numPr>
          <w:ilvl w:val="1"/>
          <w:numId w:val="1078"/>
        </w:numPr>
      </w:pPr>
      <w:r>
        <w:t xml:space="preserve">Technical integration support team</w:t>
      </w:r>
    </w:p>
    <w:p>
      <w:pPr>
        <w:pStyle w:val="Compact"/>
        <w:numPr>
          <w:ilvl w:val="1"/>
          <w:numId w:val="1078"/>
        </w:numPr>
      </w:pPr>
      <w:r>
        <w:t xml:space="preserve">Sandbox environment for testing</w:t>
      </w:r>
    </w:p>
    <w:p>
      <w:pPr>
        <w:pStyle w:val="Compact"/>
        <w:numPr>
          <w:ilvl w:val="1"/>
          <w:numId w:val="1078"/>
        </w:numPr>
      </w:pPr>
      <w:r>
        <w:t xml:space="preserve">Clear API documentation and examples</w:t>
      </w:r>
    </w:p>
    <w:p>
      <w:r>
        <w:pict>
          <v:rect style="width:0;height:1.5pt" o:hralign="center" o:hrstd="t" o:hr="t"/>
        </w:pict>
      </w:r>
    </w:p>
    <w:bookmarkEnd w:id="40"/>
    <w:bookmarkEnd w:id="41"/>
    <w:bookmarkEnd w:id="42"/>
    <w:bookmarkStart w:id="45" w:name="risk-monitoring-review"/>
    <w:p>
      <w:pPr>
        <w:pStyle w:val="Heading2"/>
      </w:pPr>
      <w:r>
        <w:t xml:space="preserve">5. Risk Monitoring &amp; Review</w:t>
      </w:r>
    </w:p>
    <w:bookmarkStart w:id="43" w:name="key-risk-indicators-kris"/>
    <w:p>
      <w:pPr>
        <w:pStyle w:val="Heading3"/>
      </w:pPr>
      <w:r>
        <w:t xml:space="preserve">5.1 Key Risk Indicators (KRIs)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 Category</w:t>
            </w:r>
          </w:p>
        </w:tc>
        <w:tc>
          <w:tcPr/>
          <w:p>
            <w:pPr>
              <w:pStyle w:val="Compact"/>
            </w:pPr>
            <w:r>
              <w:t xml:space="preserve">KRI</w:t>
            </w:r>
          </w:p>
        </w:tc>
        <w:tc>
          <w:tcPr/>
          <w:p>
            <w:pPr>
              <w:pStyle w:val="Compact"/>
            </w:pPr>
            <w:r>
              <w:t xml:space="preserve">Target</w:t>
            </w:r>
          </w:p>
        </w:tc>
        <w:tc>
          <w:tcPr/>
          <w:p>
            <w:pPr>
              <w:pStyle w:val="Compact"/>
            </w:pPr>
            <w:r>
              <w:t xml:space="preserve">Alert Threshold</w:t>
            </w:r>
          </w:p>
        </w:tc>
        <w:tc>
          <w:tcPr/>
          <w:p>
            <w:pPr>
              <w:pStyle w:val="Compact"/>
            </w:pPr>
            <w:r>
              <w:t xml:space="preserve">Critical Threshold</w:t>
            </w:r>
          </w:p>
        </w:tc>
      </w:tr>
      <w:tr>
        <w:tc>
          <w:tcPr/>
          <w:p>
            <w:pPr>
              <w:pStyle w:val="Compact"/>
            </w:pPr>
            <w:r>
              <w:t xml:space="preserve">Model Accuracy</w:t>
            </w:r>
          </w:p>
        </w:tc>
        <w:tc>
          <w:tcPr/>
          <w:p>
            <w:pPr>
              <w:pStyle w:val="Compact"/>
            </w:pPr>
            <w:r>
              <w:t xml:space="preserve">Test set accuracy</w:t>
            </w:r>
          </w:p>
        </w:tc>
        <w:tc>
          <w:tcPr/>
          <w:p>
            <w:pPr>
              <w:pStyle w:val="Compact"/>
            </w:pPr>
            <w:r>
              <w:t xml:space="preserve">&gt;85%</w:t>
            </w:r>
          </w:p>
        </w:tc>
        <w:tc>
          <w:tcPr/>
          <w:p>
            <w:pPr>
              <w:pStyle w:val="Compact"/>
            </w:pPr>
            <w:r>
              <w:t xml:space="preserve">&lt;83%</w:t>
            </w:r>
          </w:p>
        </w:tc>
        <w:tc>
          <w:tcPr/>
          <w:p>
            <w:pPr>
              <w:pStyle w:val="Compact"/>
            </w:pPr>
            <w:r>
              <w:t xml:space="preserve">&lt;80%</w:t>
            </w:r>
          </w:p>
        </w:tc>
      </w:tr>
      <w:tr>
        <w:tc>
          <w:tcPr/>
          <w:p>
            <w:pPr>
              <w:pStyle w:val="Compact"/>
            </w:pPr>
            <w:r>
              <w:t xml:space="preserve">Confidence</w:t>
            </w:r>
          </w:p>
        </w:tc>
        <w:tc>
          <w:tcPr/>
          <w:p>
            <w:pPr>
              <w:pStyle w:val="Compact"/>
            </w:pPr>
            <w:r>
              <w:t xml:space="preserve">% predictions &gt;90% conf</w:t>
            </w:r>
          </w:p>
        </w:tc>
        <w:tc>
          <w:tcPr/>
          <w:p>
            <w:pPr>
              <w:pStyle w:val="Compact"/>
            </w:pPr>
            <w:r>
              <w:t xml:space="preserve">&gt;60%</w:t>
            </w:r>
          </w:p>
        </w:tc>
        <w:tc>
          <w:tcPr/>
          <w:p>
            <w:pPr>
              <w:pStyle w:val="Compact"/>
            </w:pPr>
            <w:r>
              <w:t xml:space="preserve">&lt;50%</w:t>
            </w:r>
          </w:p>
        </w:tc>
        <w:tc>
          <w:tcPr/>
          <w:p>
            <w:pPr>
              <w:pStyle w:val="Compact"/>
            </w:pPr>
            <w:r>
              <w:t xml:space="preserve">&lt;40%</w:t>
            </w:r>
          </w:p>
        </w:tc>
      </w:tr>
      <w:tr>
        <w:tc>
          <w:tcPr/>
          <w:p>
            <w:pPr>
              <w:pStyle w:val="Compact"/>
            </w:pPr>
            <w:r>
              <w:t xml:space="preserve">System Uptime</w:t>
            </w:r>
          </w:p>
        </w:tc>
        <w:tc>
          <w:tcPr/>
          <w:p>
            <w:pPr>
              <w:pStyle w:val="Compact"/>
            </w:pPr>
            <w:r>
              <w:t xml:space="preserve">Availability</w:t>
            </w:r>
          </w:p>
        </w:tc>
        <w:tc>
          <w:tcPr/>
          <w:p>
            <w:pPr>
              <w:pStyle w:val="Compact"/>
            </w:pPr>
            <w:r>
              <w:t xml:space="preserve">&gt;99.5%</w:t>
            </w:r>
          </w:p>
        </w:tc>
        <w:tc>
          <w:tcPr/>
          <w:p>
            <w:pPr>
              <w:pStyle w:val="Compact"/>
            </w:pPr>
            <w:r>
              <w:t xml:space="preserve">&lt;99%</w:t>
            </w:r>
          </w:p>
        </w:tc>
        <w:tc>
          <w:tcPr/>
          <w:p>
            <w:pPr>
              <w:pStyle w:val="Compact"/>
            </w:pPr>
            <w:r>
              <w:t xml:space="preserve">&lt;95%</w:t>
            </w:r>
          </w:p>
        </w:tc>
      </w:tr>
      <w:tr>
        <w:tc>
          <w:tcPr/>
          <w:p>
            <w:pPr>
              <w:pStyle w:val="Compact"/>
            </w:pPr>
            <w:r>
              <w:t xml:space="preserve">Processing Time</w:t>
            </w:r>
          </w:p>
        </w:tc>
        <w:tc>
          <w:tcPr/>
          <w:p>
            <w:pPr>
              <w:pStyle w:val="Compact"/>
            </w:pPr>
            <w:r>
              <w:t xml:space="preserve">Average latency</w:t>
            </w:r>
          </w:p>
        </w:tc>
        <w:tc>
          <w:tcPr/>
          <w:p>
            <w:pPr>
              <w:pStyle w:val="Compact"/>
            </w:pPr>
            <w:r>
              <w:t xml:space="preserve">&lt;2s</w:t>
            </w:r>
          </w:p>
        </w:tc>
        <w:tc>
          <w:tcPr/>
          <w:p>
            <w:pPr>
              <w:pStyle w:val="Compact"/>
            </w:pPr>
            <w:r>
              <w:t xml:space="preserve">&gt;5s</w:t>
            </w:r>
          </w:p>
        </w:tc>
        <w:tc>
          <w:tcPr/>
          <w:p>
            <w:pPr>
              <w:pStyle w:val="Compact"/>
            </w:pPr>
            <w:r>
              <w:t xml:space="preserve">&gt;10s</w:t>
            </w:r>
          </w:p>
        </w:tc>
      </w:tr>
      <w:tr>
        <w:tc>
          <w:tcPr/>
          <w:p>
            <w:pPr>
              <w:pStyle w:val="Compact"/>
            </w:pPr>
            <w:r>
              <w:t xml:space="preserve">Security</w:t>
            </w:r>
          </w:p>
        </w:tc>
        <w:tc>
          <w:tcPr/>
          <w:p>
            <w:pPr>
              <w:pStyle w:val="Compact"/>
            </w:pPr>
            <w:r>
              <w:t xml:space="preserve">Failed auth attempts</w:t>
            </w:r>
          </w:p>
        </w:tc>
        <w:tc>
          <w:tcPr/>
          <w:p>
            <w:pPr>
              <w:pStyle w:val="Compact"/>
            </w:pPr>
            <w:r>
              <w:t xml:space="preserve">&lt;10/day</w:t>
            </w:r>
          </w:p>
        </w:tc>
        <w:tc>
          <w:tcPr/>
          <w:p>
            <w:pPr>
              <w:pStyle w:val="Compact"/>
            </w:pPr>
            <w:r>
              <w:t xml:space="preserve">&gt;50/day</w:t>
            </w:r>
          </w:p>
        </w:tc>
        <w:tc>
          <w:tcPr/>
          <w:p>
            <w:pPr>
              <w:pStyle w:val="Compact"/>
            </w:pPr>
            <w:r>
              <w:t xml:space="preserve">&gt;100/day</w:t>
            </w:r>
          </w:p>
        </w:tc>
      </w:tr>
      <w:tr>
        <w:tc>
          <w:tcPr/>
          <w:p>
            <w:pPr>
              <w:pStyle w:val="Compact"/>
            </w:pPr>
            <w:r>
              <w:t xml:space="preserve">Data Quality</w:t>
            </w:r>
          </w:p>
        </w:tc>
        <w:tc>
          <w:tcPr/>
          <w:p>
            <w:pPr>
              <w:pStyle w:val="Compact"/>
            </w:pPr>
            <w:r>
              <w:t xml:space="preserve">Rejected images</w:t>
            </w:r>
          </w:p>
        </w:tc>
        <w:tc>
          <w:tcPr/>
          <w:p>
            <w:pPr>
              <w:pStyle w:val="Compact"/>
            </w:pPr>
            <w:r>
              <w:t xml:space="preserve">&lt;5%</w:t>
            </w:r>
          </w:p>
        </w:tc>
        <w:tc>
          <w:tcPr/>
          <w:p>
            <w:pPr>
              <w:pStyle w:val="Compact"/>
            </w:pPr>
            <w:r>
              <w:t xml:space="preserve">&gt;10%</w:t>
            </w:r>
          </w:p>
        </w:tc>
        <w:tc>
          <w:tcPr/>
          <w:p>
            <w:pPr>
              <w:pStyle w:val="Compact"/>
            </w:pPr>
            <w:r>
              <w:t xml:space="preserve">&gt;20%</w:t>
            </w:r>
          </w:p>
        </w:tc>
      </w:tr>
      <w:tr>
        <w:tc>
          <w:tcPr/>
          <w:p>
            <w:pPr>
              <w:pStyle w:val="Compact"/>
            </w:pPr>
            <w:r>
              <w:t xml:space="preserve">Customer Satisfaction</w:t>
            </w:r>
          </w:p>
        </w:tc>
        <w:tc>
          <w:tcPr/>
          <w:p>
            <w:pPr>
              <w:pStyle w:val="Compact"/>
            </w:pPr>
            <w:r>
              <w:t xml:space="preserve">NPS Score</w:t>
            </w:r>
          </w:p>
        </w:tc>
        <w:tc>
          <w:tcPr/>
          <w:p>
            <w:pPr>
              <w:pStyle w:val="Compact"/>
            </w:pPr>
            <w:r>
              <w:t xml:space="preserve">&gt;50</w:t>
            </w:r>
          </w:p>
        </w:tc>
        <w:tc>
          <w:tcPr/>
          <w:p>
            <w:pPr>
              <w:pStyle w:val="Compact"/>
            </w:pPr>
            <w:r>
              <w:t xml:space="preserve">&lt;30</w:t>
            </w:r>
          </w:p>
        </w:tc>
        <w:tc>
          <w:tcPr/>
          <w:p>
            <w:pPr>
              <w:pStyle w:val="Compact"/>
            </w:pPr>
            <w:r>
              <w:t xml:space="preserve">&lt;10</w:t>
            </w:r>
          </w:p>
        </w:tc>
      </w:tr>
    </w:tbl>
    <w:bookmarkEnd w:id="43"/>
    <w:bookmarkStart w:id="44" w:name="governance-review-process"/>
    <w:p>
      <w:pPr>
        <w:pStyle w:val="Heading3"/>
      </w:pPr>
      <w:r>
        <w:t xml:space="preserve">5.2 Governance &amp; Review Process</w:t>
      </w:r>
    </w:p>
    <w:p>
      <w:pPr>
        <w:pStyle w:val="FirstParagraph"/>
      </w:pPr>
      <w:r>
        <w:rPr>
          <w:b/>
          <w:bCs/>
        </w:rPr>
        <w:t xml:space="preserve">Risk Review Frequency:</w:t>
      </w:r>
      <w:r>
        <w:t xml:space="preserve"> </w:t>
      </w:r>
      <w:r>
        <w:t xml:space="preserve">-</w:t>
      </w:r>
      <w:r>
        <w:t xml:space="preserve"> </w:t>
      </w:r>
      <w:r>
        <w:rPr>
          <w:b/>
          <w:bCs/>
        </w:rPr>
        <w:t xml:space="preserve">Daily:</w:t>
      </w:r>
      <w:r>
        <w:t xml:space="preserve"> </w:t>
      </w:r>
      <w:r>
        <w:t xml:space="preserve">Automated monitoring of all KRIs</w:t>
      </w:r>
      <w:r>
        <w:t xml:space="preserve"> </w:t>
      </w:r>
      <w:r>
        <w:t xml:space="preserve">-</w:t>
      </w:r>
      <w:r>
        <w:t xml:space="preserve"> </w:t>
      </w:r>
      <w:r>
        <w:rPr>
          <w:b/>
          <w:bCs/>
        </w:rPr>
        <w:t xml:space="preserve">Weekly:</w:t>
      </w:r>
      <w:r>
        <w:t xml:space="preserve"> </w:t>
      </w:r>
      <w:r>
        <w:t xml:space="preserve">Operations team review of metrics and incidents</w:t>
      </w:r>
      <w:r>
        <w:t xml:space="preserve"> </w:t>
      </w:r>
      <w:r>
        <w:t xml:space="preserve">-</w:t>
      </w:r>
      <w:r>
        <w:t xml:space="preserve"> </w:t>
      </w:r>
      <w:r>
        <w:rPr>
          <w:b/>
          <w:bCs/>
        </w:rPr>
        <w:t xml:space="preserve">Monthly:</w:t>
      </w:r>
      <w:r>
        <w:t xml:space="preserve"> </w:t>
      </w:r>
      <w:r>
        <w:t xml:space="preserve">Management review of risk dashboard</w:t>
      </w:r>
      <w:r>
        <w:t xml:space="preserve"> </w:t>
      </w:r>
      <w:r>
        <w:t xml:space="preserve">-</w:t>
      </w:r>
      <w:r>
        <w:t xml:space="preserve"> </w:t>
      </w:r>
      <w:r>
        <w:rPr>
          <w:b/>
          <w:bCs/>
        </w:rPr>
        <w:t xml:space="preserve">Quarterly:</w:t>
      </w:r>
      <w:r>
        <w:t xml:space="preserve"> </w:t>
      </w:r>
      <w:r>
        <w:t xml:space="preserve">Comprehensive risk assessment and strategy update</w:t>
      </w:r>
      <w:r>
        <w:t xml:space="preserve"> </w:t>
      </w:r>
      <w:r>
        <w:t xml:space="preserve">-</w:t>
      </w:r>
      <w:r>
        <w:t xml:space="preserve"> </w:t>
      </w:r>
      <w:r>
        <w:rPr>
          <w:b/>
          <w:bCs/>
        </w:rPr>
        <w:t xml:space="preserve">Annually:</w:t>
      </w:r>
      <w:r>
        <w:t xml:space="preserve"> </w:t>
      </w:r>
      <w:r>
        <w:t xml:space="preserve">External audit and independent review</w:t>
      </w:r>
    </w:p>
    <w:p>
      <w:pPr>
        <w:pStyle w:val="BodyText"/>
      </w:pPr>
      <w:r>
        <w:rPr>
          <w:b/>
          <w:bCs/>
        </w:rPr>
        <w:t xml:space="preserve">Escalation Procedures:</w:t>
      </w:r>
      <w:r>
        <w:t xml:space="preserve"> </w:t>
      </w:r>
      <w:r>
        <w:t xml:space="preserve">-</w:t>
      </w:r>
      <w:r>
        <w:t xml:space="preserve"> </w:t>
      </w:r>
      <w:r>
        <w:rPr>
          <w:b/>
          <w:bCs/>
        </w:rPr>
        <w:t xml:space="preserve">Alert Threshold:</w:t>
      </w:r>
      <w:r>
        <w:t xml:space="preserve"> </w:t>
      </w:r>
      <w:r>
        <w:t xml:space="preserve">Notify operations team, investigate within 4 hours</w:t>
      </w:r>
      <w:r>
        <w:t xml:space="preserve"> </w:t>
      </w:r>
      <w:r>
        <w:t xml:space="preserve">-</w:t>
      </w:r>
      <w:r>
        <w:t xml:space="preserve"> </w:t>
      </w:r>
      <w:r>
        <w:rPr>
          <w:b/>
          <w:bCs/>
        </w:rPr>
        <w:t xml:space="preserve">Critical Threshold:</w:t>
      </w:r>
      <w:r>
        <w:t xml:space="preserve"> </w:t>
      </w:r>
      <w:r>
        <w:t xml:space="preserve">Escalate to management, immediate action required</w:t>
      </w:r>
      <w:r>
        <w:t xml:space="preserve"> </w:t>
      </w:r>
      <w:r>
        <w:t xml:space="preserve">-</w:t>
      </w:r>
      <w:r>
        <w:t xml:space="preserve"> </w:t>
      </w:r>
      <w:r>
        <w:rPr>
          <w:b/>
          <w:bCs/>
        </w:rPr>
        <w:t xml:space="preserve">Multiple KRI triggers:</w:t>
      </w:r>
      <w:r>
        <w:t xml:space="preserve"> </w:t>
      </w:r>
      <w:r>
        <w:t xml:space="preserve">Emergency response team convened</w:t>
      </w:r>
    </w:p>
    <w:p>
      <w:pPr>
        <w:pStyle w:val="BodyText"/>
      </w:pPr>
      <w:r>
        <w:rPr>
          <w:b/>
          <w:bCs/>
        </w:rPr>
        <w:t xml:space="preserve">Continuous Improvement:</w:t>
      </w:r>
      <w:r>
        <w:t xml:space="preserve"> </w:t>
      </w:r>
      <w:r>
        <w:t xml:space="preserve">- Lessons learned from incidents documented</w:t>
      </w:r>
      <w:r>
        <w:t xml:space="preserve"> </w:t>
      </w:r>
      <w:r>
        <w:t xml:space="preserve">- Risk register updated based on new information</w:t>
      </w:r>
      <w:r>
        <w:t xml:space="preserve"> </w:t>
      </w:r>
      <w:r>
        <w:t xml:space="preserve">- Mitigation strategies refined based on effectiveness</w:t>
      </w:r>
      <w:r>
        <w:t xml:space="preserve"> </w:t>
      </w:r>
      <w:r>
        <w:t xml:space="preserve">- Emerging risks added proactively</w:t>
      </w:r>
    </w:p>
    <w:p>
      <w:r>
        <w:pict>
          <v:rect style="width:0;height:1.5pt" o:hralign="center" o:hrstd="t" o:hr="t"/>
        </w:pict>
      </w:r>
    </w:p>
    <w:bookmarkEnd w:id="44"/>
    <w:bookmarkEnd w:id="45"/>
    <w:bookmarkStart w:id="48" w:name="incident-response-plan"/>
    <w:p>
      <w:pPr>
        <w:pStyle w:val="Heading2"/>
      </w:pPr>
      <w:r>
        <w:t xml:space="preserve">6. Incident Response Plan</w:t>
      </w:r>
    </w:p>
    <w:bookmarkStart w:id="46" w:name="incident-classification"/>
    <w:p>
      <w:pPr>
        <w:pStyle w:val="Heading3"/>
      </w:pPr>
      <w:r>
        <w:t xml:space="preserve">6.1 Incident Classification</w:t>
      </w:r>
    </w:p>
    <w:p>
      <w:pPr>
        <w:pStyle w:val="FirstParagraph"/>
      </w:pPr>
      <w:r>
        <w:rPr>
          <w:b/>
          <w:bCs/>
        </w:rPr>
        <w:t xml:space="preserve">Severity Levels:</w:t>
      </w:r>
      <w:r>
        <w:t xml:space="preserve"> </w:t>
      </w:r>
      <w:r>
        <w:t xml:space="preserve">-</w:t>
      </w:r>
      <w:r>
        <w:t xml:space="preserve"> </w:t>
      </w:r>
      <w:r>
        <w:rPr>
          <w:b/>
          <w:bCs/>
        </w:rPr>
        <w:t xml:space="preserve">Critical (P1):</w:t>
      </w:r>
      <w:r>
        <w:t xml:space="preserve"> </w:t>
      </w:r>
      <w:r>
        <w:t xml:space="preserve">System down, data breach, major accuracy failure</w:t>
      </w:r>
      <w:r>
        <w:t xml:space="preserve"> </w:t>
      </w:r>
      <w:r>
        <w:t xml:space="preserve">-</w:t>
      </w:r>
      <w:r>
        <w:t xml:space="preserve"> </w:t>
      </w:r>
      <w:r>
        <w:rPr>
          <w:b/>
          <w:bCs/>
        </w:rPr>
        <w:t xml:space="preserve">High (P2):</w:t>
      </w:r>
      <w:r>
        <w:t xml:space="preserve"> </w:t>
      </w:r>
      <w:r>
        <w:t xml:space="preserve">Degraded performance, security incident, compliance issue</w:t>
      </w:r>
      <w:r>
        <w:t xml:space="preserve"> </w:t>
      </w:r>
      <w:r>
        <w:t xml:space="preserve">-</w:t>
      </w:r>
      <w:r>
        <w:t xml:space="preserve"> </w:t>
      </w:r>
      <w:r>
        <w:rPr>
          <w:b/>
          <w:bCs/>
        </w:rPr>
        <w:t xml:space="preserve">Medium (P3):</w:t>
      </w:r>
      <w:r>
        <w:t xml:space="preserve"> </w:t>
      </w:r>
      <w:r>
        <w:t xml:space="preserve">Minor accuracy issues, isolated system problems</w:t>
      </w:r>
      <w:r>
        <w:t xml:space="preserve"> </w:t>
      </w:r>
      <w:r>
        <w:t xml:space="preserve">-</w:t>
      </w:r>
      <w:r>
        <w:t xml:space="preserve"> </w:t>
      </w:r>
      <w:r>
        <w:rPr>
          <w:b/>
          <w:bCs/>
        </w:rPr>
        <w:t xml:space="preserve">Low (P4):</w:t>
      </w:r>
      <w:r>
        <w:t xml:space="preserve"> </w:t>
      </w:r>
      <w:r>
        <w:t xml:space="preserve">Cosmetic issues, enhancement requests</w:t>
      </w:r>
    </w:p>
    <w:bookmarkEnd w:id="46"/>
    <w:bookmarkStart w:id="47" w:name="response-procedures"/>
    <w:p>
      <w:pPr>
        <w:pStyle w:val="Heading3"/>
      </w:pPr>
      <w:r>
        <w:t xml:space="preserve">6.2 Response Procedures</w:t>
      </w:r>
    </w:p>
    <w:p>
      <w:pPr>
        <w:pStyle w:val="FirstParagraph"/>
      </w:pPr>
      <w:r>
        <w:rPr>
          <w:b/>
          <w:bCs/>
        </w:rPr>
        <w:t xml:space="preserve">P1 Critical Incidents:</w:t>
      </w:r>
      <w:r>
        <w:t xml:space="preserve"> </w:t>
      </w:r>
      <w:r>
        <w:t xml:space="preserve">1. Immediate notification to CTO and leadership (within 15 minutes)</w:t>
      </w:r>
      <w:r>
        <w:t xml:space="preserve"> </w:t>
      </w:r>
      <w:r>
        <w:t xml:space="preserve">2. Activate incident response team</w:t>
      </w:r>
      <w:r>
        <w:t xml:space="preserve"> </w:t>
      </w:r>
      <w:r>
        <w:t xml:space="preserve">3. Assess impact and containment options</w:t>
      </w:r>
      <w:r>
        <w:t xml:space="preserve"> </w:t>
      </w:r>
      <w:r>
        <w:t xml:space="preserve">4. Implement immediate mitigation (may include system shutdown)</w:t>
      </w:r>
      <w:r>
        <w:t xml:space="preserve"> </w:t>
      </w:r>
      <w:r>
        <w:t xml:space="preserve">5. Customer notification within 1 hour if customer-impacting</w:t>
      </w:r>
      <w:r>
        <w:t xml:space="preserve"> </w:t>
      </w:r>
      <w:r>
        <w:t xml:space="preserve">6. Post-incident review within 48 hours</w:t>
      </w:r>
    </w:p>
    <w:p>
      <w:pPr>
        <w:pStyle w:val="BodyText"/>
      </w:pPr>
      <w:r>
        <w:rPr>
          <w:b/>
          <w:bCs/>
        </w:rPr>
        <w:t xml:space="preserve">Standard Response Process:</w:t>
      </w:r>
      <w:r>
        <w:t xml:space="preserve"> </w:t>
      </w:r>
      <w:r>
        <w:t xml:space="preserve">1. Detection and reporting</w:t>
      </w:r>
      <w:r>
        <w:t xml:space="preserve"> </w:t>
      </w:r>
      <w:r>
        <w:t xml:space="preserve">2. Classification and prioritization</w:t>
      </w:r>
      <w:r>
        <w:t xml:space="preserve"> </w:t>
      </w:r>
      <w:r>
        <w:t xml:space="preserve">3. Investigation and diagnosis</w:t>
      </w:r>
      <w:r>
        <w:t xml:space="preserve"> </w:t>
      </w:r>
      <w:r>
        <w:t xml:space="preserve">4. Containment and mitigation</w:t>
      </w:r>
      <w:r>
        <w:t xml:space="preserve"> </w:t>
      </w:r>
      <w:r>
        <w:t xml:space="preserve">5. Resolution and recovery</w:t>
      </w:r>
      <w:r>
        <w:t xml:space="preserve"> </w:t>
      </w:r>
      <w:r>
        <w:t xml:space="preserve">6. Documentation and lessons learned</w:t>
      </w:r>
      <w:r>
        <w:t xml:space="preserve"> </w:t>
      </w:r>
      <w:r>
        <w:t xml:space="preserve">7. Follow-up actions and prevention</w:t>
      </w:r>
    </w:p>
    <w:p>
      <w:r>
        <w:pict>
          <v:rect style="width:0;height:1.5pt" o:hralign="center" o:hrstd="t" o:hr="t"/>
        </w:pict>
      </w:r>
    </w:p>
    <w:bookmarkEnd w:id="47"/>
    <w:bookmarkEnd w:id="48"/>
    <w:bookmarkStart w:id="49" w:name="conclusion"/>
    <w:p>
      <w:pPr>
        <w:pStyle w:val="Heading2"/>
      </w:pPr>
      <w:r>
        <w:t xml:space="preserve">7. Conclusion</w:t>
      </w:r>
    </w:p>
    <w:p>
      <w:pPr>
        <w:pStyle w:val="FirstParagraph"/>
      </w:pPr>
      <w:r>
        <w:t xml:space="preserve">This risk mitigation strategy provides a comprehensive framework for identifying, assessing, and mitigating risks associated with the Carbon Credit Eligibility AI system. Through proactive risk management, continuous monitoring, and adaptive mitigation measures, we aim to ensure safe, reliable, and compliant operation of the AI system.</w:t>
      </w:r>
    </w:p>
    <w:p>
      <w:pPr>
        <w:pStyle w:val="BodyText"/>
      </w:pPr>
      <w:r>
        <w:rPr>
          <w:b/>
          <w:bCs/>
        </w:rPr>
        <w:t xml:space="preserve">Key Principles:</w:t>
      </w:r>
      <w:r>
        <w:t xml:space="preserve"> </w:t>
      </w:r>
      <w:r>
        <w:t xml:space="preserve">- Prevention is better than cure</w:t>
      </w:r>
      <w:r>
        <w:t xml:space="preserve"> </w:t>
      </w:r>
      <w:r>
        <w:t xml:space="preserve">- Transparency builds trust</w:t>
      </w:r>
      <w:r>
        <w:t xml:space="preserve"> </w:t>
      </w:r>
      <w:r>
        <w:t xml:space="preserve">- Human oversight is essential</w:t>
      </w:r>
      <w:r>
        <w:t xml:space="preserve"> </w:t>
      </w:r>
      <w:r>
        <w:t xml:space="preserve">- Continuous improvement is mandatory</w:t>
      </w:r>
      <w:r>
        <w:t xml:space="preserve"> </w:t>
      </w:r>
      <w:r>
        <w:t xml:space="preserve">- Compliance is non-negotiable</w:t>
      </w:r>
    </w:p>
    <w:p>
      <w:r>
        <w:pict>
          <v:rect style="width:0;height:1.5pt" o:hralign="center" o:hrstd="t" o:hr="t"/>
        </w:pict>
      </w:r>
    </w:p>
    <w:bookmarkEnd w:id="49"/>
    <w:bookmarkStart w:id="50" w:name="approval-review"/>
    <w:p>
      <w:pPr>
        <w:pStyle w:val="Heading2"/>
      </w:pPr>
      <w:r>
        <w:t xml:space="preserve">Approval &amp; Review</w:t>
      </w:r>
    </w:p>
    <w:p>
      <w:pPr>
        <w:pStyle w:val="FirstParagraph"/>
      </w:pPr>
      <w:r>
        <w:rPr>
          <w:b/>
          <w:bCs/>
        </w:rPr>
        <w:t xml:space="preserve">Prepared By:</w:t>
      </w:r>
      <w:r>
        <w:t xml:space="preserve"> </w:t>
      </w:r>
      <w:r>
        <w:t xml:space="preserve">[Name, Title]</w:t>
      </w:r>
      <w:r>
        <w:br/>
      </w:r>
      <w:r>
        <w:rPr>
          <w:b/>
          <w:bCs/>
        </w:rPr>
        <w:t xml:space="preserve">Reviewed By:</w:t>
      </w:r>
      <w:r>
        <w:t xml:space="preserve"> </w:t>
      </w:r>
      <w:r>
        <w:t xml:space="preserve">[Name, Title]</w:t>
      </w:r>
      <w:r>
        <w:br/>
      </w:r>
      <w:r>
        <w:rPr>
          <w:b/>
          <w:bCs/>
        </w:rPr>
        <w:t xml:space="preserve">Approved By:</w:t>
      </w:r>
      <w:r>
        <w:t xml:space="preserve"> </w:t>
      </w:r>
      <w:r>
        <w:t xml:space="preserve">[Name, Title]</w:t>
      </w:r>
      <w:r>
        <w:br/>
      </w:r>
      <w:r>
        <w:rPr>
          <w:b/>
          <w:bCs/>
        </w:rPr>
        <w:t xml:space="preserve">Date:</w:t>
      </w:r>
      <w:r>
        <w:t xml:space="preserve"> </w:t>
      </w:r>
      <w:r>
        <w:t xml:space="preserve">November 28, 2025</w:t>
      </w:r>
      <w:r>
        <w:br/>
      </w:r>
      <w:r>
        <w:rPr>
          <w:b/>
          <w:bCs/>
        </w:rPr>
        <w:t xml:space="preserve">Next Review:</w:t>
      </w:r>
      <w:r>
        <w:t xml:space="preserve"> </w:t>
      </w:r>
      <w:r>
        <w:t xml:space="preserve">February 28, 2026</w:t>
      </w:r>
    </w:p>
    <w:p>
      <w:r>
        <w:pict>
          <v:rect style="width:0;height:1.5pt" o:hralign="center" o:hrstd="t" o:hr="t"/>
        </w:pict>
      </w:r>
    </w:p>
    <w:bookmarkEnd w:id="50"/>
    <w:bookmarkStart w:id="56" w:name="appendices"/>
    <w:p>
      <w:pPr>
        <w:pStyle w:val="Heading2"/>
      </w:pPr>
      <w:r>
        <w:t xml:space="preserve">Appendices</w:t>
      </w:r>
    </w:p>
    <w:bookmarkStart w:id="51" w:name="appendix-a-risk-register-template"/>
    <w:p>
      <w:pPr>
        <w:pStyle w:val="Heading3"/>
      </w:pPr>
      <w:r>
        <w:t xml:space="preserve">Appendix A: Risk Register Template</w:t>
      </w:r>
    </w:p>
    <w:bookmarkEnd w:id="51"/>
    <w:bookmarkStart w:id="52" w:name="appendix-b-incident-report-template"/>
    <w:p>
      <w:pPr>
        <w:pStyle w:val="Heading3"/>
      </w:pPr>
      <w:r>
        <w:t xml:space="preserve">Appendix B: Incident Report Template</w:t>
      </w:r>
    </w:p>
    <w:bookmarkEnd w:id="52"/>
    <w:bookmarkStart w:id="53" w:name="appendix-c-emergency-contact-list"/>
    <w:p>
      <w:pPr>
        <w:pStyle w:val="Heading3"/>
      </w:pPr>
      <w:r>
        <w:t xml:space="preserve">Appendix C: Emergency Contact List</w:t>
      </w:r>
    </w:p>
    <w:bookmarkEnd w:id="53"/>
    <w:bookmarkStart w:id="54" w:name="appendix-d-compliance-checklist"/>
    <w:p>
      <w:pPr>
        <w:pStyle w:val="Heading3"/>
      </w:pPr>
      <w:r>
        <w:t xml:space="preserve">Appendix D: Compliance Checklist</w:t>
      </w:r>
    </w:p>
    <w:bookmarkEnd w:id="54"/>
    <w:bookmarkStart w:id="55" w:name="appendix-e-communication-templates"/>
    <w:p>
      <w:pPr>
        <w:pStyle w:val="Heading3"/>
      </w:pPr>
      <w:r>
        <w:t xml:space="preserve">Appendix E: Communication Templates</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1"/>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1"/>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1"/>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1"/>
  </w:num>
  <w:num w:numId="1031">
    <w:abstractNumId w:val="991"/>
  </w:num>
  <w:num w:numId="1032">
    <w:abstractNumId w:val="991"/>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1"/>
  </w:num>
  <w:num w:numId="1036">
    <w:abstractNumId w:val="991"/>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1"/>
  </w:num>
  <w:num w:numId="1040">
    <w:abstractNumId w:val="991"/>
  </w:num>
  <w:num w:numId="1041">
    <w:abstractNumId w:val="991"/>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1"/>
  </w:num>
  <w:num w:numId="1045">
    <w:abstractNumId w:val="991"/>
  </w:num>
  <w:num w:numId="1046">
    <w:abstractNumId w:val="991"/>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1"/>
  </w:num>
  <w:num w:numId="1049">
    <w:abstractNumId w:val="991"/>
  </w:num>
  <w:num w:numId="1050">
    <w:abstractNumId w:val="991"/>
  </w:num>
  <w:num w:numId="1051">
    <w:abstractNumId w:val="991"/>
  </w:num>
  <w:num w:numId="10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1"/>
  </w:num>
  <w:num w:numId="1055">
    <w:abstractNumId w:val="991"/>
  </w:num>
  <w:num w:numId="1056">
    <w:abstractNumId w:val="991"/>
  </w:num>
  <w:num w:numId="10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1"/>
  </w:num>
  <w:num w:numId="1060">
    <w:abstractNumId w:val="991"/>
  </w:num>
  <w:num w:numId="1061">
    <w:abstractNumId w:val="991"/>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1"/>
  </w:num>
  <w:num w:numId="1064">
    <w:abstractNumId w:val="991"/>
  </w:num>
  <w:num w:numId="1065">
    <w:abstractNumId w:val="991"/>
  </w:num>
  <w:num w:numId="1066">
    <w:abstractNumId w:val="991"/>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1"/>
  </w:num>
  <w:num w:numId="1070">
    <w:abstractNumId w:val="991"/>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1"/>
  </w:num>
  <w:num w:numId="1073">
    <w:abstractNumId w:val="991"/>
  </w:num>
  <w:num w:numId="1074">
    <w:abstractNumId w:val="991"/>
  </w:num>
  <w:num w:numId="1075">
    <w:abstractNumId w:val="991"/>
  </w:num>
  <w:num w:numId="10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2025-11-30T01:45:30Z</dcterms:created>
  <dcterms:modified xsi:type="dcterms:W3CDTF">2025-11-30T01:45:30Z</dcterms:modified>
</cp:coreProperties>
</file>

<file path=docProps/custom.xml><?xml version="1.0" encoding="utf-8"?>
<Properties xmlns="http://schemas.openxmlformats.org/officeDocument/2006/custom-properties" xmlns:vt="http://schemas.openxmlformats.org/officeDocument/2006/docPropsVTypes"/>
</file>