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40F25">
      <w:pPr>
        <w:tabs>
          <w:tab w:val="right" w:pos="9638"/>
        </w:tabs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22225</wp:posOffset>
                </wp:positionV>
                <wp:extent cx="6120130" cy="0"/>
                <wp:effectExtent l="0" t="0" r="13970" b="12700"/>
                <wp:wrapNone/>
                <wp:docPr id="17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o:spt="20" style="position:absolute;left:0pt;margin-top:1.75pt;height:0pt;width:481.9pt;mso-position-horizontal:left;mso-position-horizontal-relative:margin;z-index:251659264;mso-width-relative:page;mso-height-relative:page;" filled="f" stroked="t" coordsize="21600,21600" o:gfxdata="UEsDBAoAAAAAAIdO4kAAAAAAAAAAAAAAAAAEAAAAZHJzL1BLAwQUAAAACACHTuJAK7gmn9QAAAAE&#10;AQAADwAAAGRycy9kb3ducmV2LnhtbE2PwU7DMBBE70j8g7VIXBB12opSQpwKkIADB0QpnJ14cSLi&#10;dRRv0/D3LFzgOJrRzJtiM4VOjTikNpKB+SwDhVRH15I3sHu9P1+DSmzJ2S4SGvjCBJvy+KiwuYsH&#10;esFxy15JCaXcGmiY+1zrVDcYbJrFHkm8jzgEyyIHr91gD1IeOr3IspUOtiVZaGyPdw3Wn9t9MMA7&#10;v17cPPFD9vxYpbNLfzu+v03GnJ7Ms2tQjBP/heEHX9ChFKYq7skl1RmQI2xgeQFKzKvVUn5Uv1qX&#10;hf4PX34DUEsDBBQAAAAIAIdO4kC7nvVF6AEAALMDAAAOAAAAZHJzL2Uyb0RvYy54bWytU82O0zAQ&#10;viPxDpbvNGlX2i5R0z1sWS4IKgEPMHWcxJL/5PE27UvwAkjc4MSRO2/D7mMwdrJdWC57IAdnPJ75&#10;Zr7P49XlwWi2lwGVszWfz0rOpBWuUbar+ccP1y8uOMMItgHtrKz5USK/XD9/thp8JReud7qRgRGI&#10;xWrwNe9j9FVRoOilAZw5Ly0dti4YiLQNXdEEGAjd6GJRlufF4ELjgxMSkbyb8ZBPiOEpgK5tlZAb&#10;J26MtHFEDVJDJErYK498nbttWyniu7ZFGZmuOTGNeaUiZO/SWqxXUHUBfK/E1AI8pYVHnAwoS0VP&#10;UBuIwG6C+gfKKBEcujbOhDPFSCQrQizm5SNt3vfgZeZCUqM/iY7/D1a83W8DUw1NwpIzC4Zu/Pbz&#10;j1+fvt79/ELr7fdvbJ5UGjxWFHxlt2Haod+GRPnQBpP+RIYdsrLHk7LyEJkg5/mc6J2R6OL+rHhI&#10;9AHja+kMS0bNtbKJNFSwf4ORilHofUhyW3ettM4Xpy0bqPPFskzQQNPY0hSQaTwxQttxBrqjMRcx&#10;ZEh0WjUpPQFh6HZXOrA90HC8ermcny0SUyr3V1iqvQHsx7h8NI6NUZFeglam5hdl+qZsbQkk6TUq&#10;lKyda45ZuOynu8xlprlLw/LnPmc/vLX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4Jp/UAAAA&#10;BAEAAA8AAAAAAAAAAQAgAAAAIgAAAGRycy9kb3ducmV2LnhtbFBLAQIUABQAAAAIAIdO4kC7nvVF&#10;6AEAALMDAAAOAAAAAAAAAAEAIAAAACMBAABkcnMvZTJvRG9jLnhtbFBLBQYAAAAABgAGAFkBAAB9&#10;BQAAAAA=&#10;">
                <v:fill on="f" focussize="0,0"/>
                <v:stroke weight="1pt" color="#E97132 [3205]" miterlimit="8" joinstyle="miter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2"/>
        <w:gridCol w:w="2801"/>
        <w:gridCol w:w="879"/>
        <w:gridCol w:w="5292"/>
      </w:tblGrid>
      <w:tr w14:paraId="58C88A16">
        <w:trPr>
          <w:trHeight w:val="314" w:hRule="atLeast"/>
        </w:trPr>
        <w:tc>
          <w:tcPr>
            <w:tcW w:w="5000" w:type="pct"/>
            <w:gridSpan w:val="4"/>
            <w:vAlign w:val="center"/>
          </w:tcPr>
          <w:p w14:paraId="1B59A2D5">
            <w:pPr>
              <w:jc w:val="both"/>
              <w:rPr>
                <w:rFonts w:cs="Tahoma"/>
                <w:sz w:val="21"/>
                <w:szCs w:val="21"/>
              </w:rPr>
            </w:pPr>
            <w:r>
              <w:rPr>
                <w:rFonts w:cs="Tahoma"/>
                <w:b/>
                <w:bCs/>
                <w:sz w:val="21"/>
                <w:szCs w:val="21"/>
              </w:rPr>
              <w:t>董海扬</w:t>
            </w:r>
            <w:r>
              <w:rPr>
                <w:rFonts w:hint="eastAsia" w:cs="Tahoma"/>
                <w:b/>
                <w:bCs/>
                <w:sz w:val="21"/>
                <w:szCs w:val="21"/>
              </w:rPr>
              <w:t xml:space="preserve">                            </w:t>
            </w:r>
          </w:p>
        </w:tc>
      </w:tr>
      <w:tr w14:paraId="5FE61507">
        <w:trPr>
          <w:trHeight w:val="412" w:hRule="atLeast"/>
        </w:trPr>
        <w:tc>
          <w:tcPr>
            <w:tcW w:w="448" w:type="pct"/>
            <w:tcMar>
              <w:right w:w="0" w:type="dxa"/>
            </w:tcMar>
            <w:vAlign w:val="center"/>
          </w:tcPr>
          <w:p w14:paraId="136EC83C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手机</w:t>
            </w:r>
            <w:r>
              <w:rPr>
                <w:rFonts w:hint="eastAsia"/>
                <w:sz w:val="21"/>
                <w:szCs w:val="21"/>
              </w:rPr>
              <w:t>:</w:t>
            </w:r>
          </w:p>
        </w:tc>
        <w:tc>
          <w:tcPr>
            <w:tcW w:w="1421" w:type="pct"/>
            <w:tcMar>
              <w:left w:w="0" w:type="dxa"/>
            </w:tcMar>
            <w:vAlign w:val="center"/>
          </w:tcPr>
          <w:p w14:paraId="1C046929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18511587647</w:t>
            </w:r>
          </w:p>
        </w:tc>
        <w:tc>
          <w:tcPr>
            <w:tcW w:w="446" w:type="pct"/>
            <w:tcMar>
              <w:right w:w="0" w:type="dxa"/>
            </w:tcMar>
            <w:vAlign w:val="center"/>
          </w:tcPr>
          <w:p w14:paraId="704308AF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邮箱</w:t>
            </w:r>
            <w:r>
              <w:rPr>
                <w:rFonts w:hint="eastAsia"/>
                <w:sz w:val="21"/>
                <w:szCs w:val="21"/>
              </w:rPr>
              <w:t>:</w:t>
            </w:r>
          </w:p>
        </w:tc>
        <w:tc>
          <w:tcPr>
            <w:tcW w:w="2685" w:type="pct"/>
            <w:tcMar>
              <w:left w:w="0" w:type="dxa"/>
            </w:tcMar>
            <w:vAlign w:val="center"/>
          </w:tcPr>
          <w:p w14:paraId="56B103A8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39505679@qq.com</w:t>
            </w:r>
          </w:p>
        </w:tc>
      </w:tr>
    </w:tbl>
    <w:p w14:paraId="18C194F2">
      <w:pPr>
        <w:rPr>
          <w:color w:val="D1D1D1" w:themeColor="background2" w:themeShade="E6"/>
          <w:sz w:val="21"/>
          <w:szCs w:val="21"/>
        </w:rPr>
      </w:pPr>
    </w:p>
    <w:tbl>
      <w:tblPr>
        <w:tblStyle w:val="15"/>
        <w:tblW w:w="5000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0AA21108">
        <w:tc>
          <w:tcPr>
            <w:tcW w:w="5000" w:type="pct"/>
            <w:tcBorders>
              <w:top w:val="single" w:color="D1D1D1" w:themeColor="background2" w:themeShade="E6" w:sz="4" w:space="0"/>
            </w:tcBorders>
          </w:tcPr>
          <w:p w14:paraId="557BD4DD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30C4897F">
        <w:tc>
          <w:tcPr>
            <w:tcW w:w="5000" w:type="pct"/>
            <w:tcBorders>
              <w:top w:val="nil"/>
            </w:tcBorders>
          </w:tcPr>
          <w:p w14:paraId="088AFAD0">
            <w:pPr>
              <w:snapToGrid w:val="0"/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/>
                <w:bCs/>
                <w:sz w:val="21"/>
                <w:szCs w:val="21"/>
              </w:rPr>
              <w:t>优势</w:t>
            </w:r>
          </w:p>
          <w:p w14:paraId="3E5129B3">
            <w:pPr>
              <w:snapToGrid w:val="0"/>
              <w:jc w:val="left"/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腾讯7年+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医疗</w:t>
            </w:r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产品经理｜专注 G2B2C 医疗健康领域</w:t>
            </w:r>
          </w:p>
          <w:p w14:paraId="522B9976">
            <w:pPr>
              <w:snapToGrid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AI产品落地：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独立落地多款AI应用，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熟练应用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AI工具与低代码平台，掌握 RAG、Agent 等产品方法论。</w:t>
            </w:r>
          </w:p>
          <w:p w14:paraId="386AA218">
            <w:pPr>
              <w:snapToGrid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亿级产品实战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：电子健康卡初创成员，全程参与0-1到亿级用户全周期，主导关键模块落地。</w:t>
            </w:r>
          </w:p>
          <w:p w14:paraId="477BA4C2">
            <w:pPr>
              <w:snapToGrid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医疗生态建设：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开放平台负责人，擅长复杂医疗系统需求产品化，推动4000 +机构高效接入。</w:t>
            </w:r>
          </w:p>
          <w:p w14:paraId="18A27A72">
            <w:pPr>
              <w:snapToGrid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业务增长闭环：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多次0到1流量渠道构建，跑通流量到营收闭环，实现稳定商业化收入。</w:t>
            </w:r>
          </w:p>
          <w:p w14:paraId="5CD12BA0">
            <w:pPr>
              <w:snapToGrid w:val="0"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lang w:val="en-US" w:eastAsia="zh-CN"/>
              </w:rPr>
              <w:t>行业深度沉淀：</w:t>
            </w: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10年+医疗一线深耕，深谙监管、医院、患者多方核心诉求与业务逻辑。</w:t>
            </w:r>
          </w:p>
        </w:tc>
      </w:tr>
    </w:tbl>
    <w:p w14:paraId="341D3194">
      <w:pPr>
        <w:rPr>
          <w:color w:val="D1D1D1" w:themeColor="background2" w:themeShade="E6"/>
          <w:sz w:val="21"/>
          <w:szCs w:val="21"/>
        </w:rPr>
      </w:pPr>
    </w:p>
    <w:tbl>
      <w:tblPr>
        <w:tblStyle w:val="15"/>
        <w:tblW w:w="5001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3718"/>
        <w:gridCol w:w="5013"/>
      </w:tblGrid>
      <w:tr w14:paraId="2ED828D0">
        <w:tc>
          <w:tcPr>
            <w:tcW w:w="5000" w:type="pct"/>
            <w:gridSpan w:val="3"/>
            <w:tcBorders>
              <w:top w:val="single" w:color="D1D1D1" w:themeColor="background2" w:themeShade="E6" w:sz="4" w:space="0"/>
            </w:tcBorders>
            <w:vAlign w:val="center"/>
          </w:tcPr>
          <w:p w14:paraId="5F03C638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35DE53B3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14:paraId="35A27E91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工作经历</w:t>
            </w:r>
          </w:p>
        </w:tc>
      </w:tr>
      <w:tr w14:paraId="38E79DBA">
        <w:tc>
          <w:tcPr>
            <w:tcW w:w="2457" w:type="pct"/>
            <w:gridSpan w:val="2"/>
            <w:tcBorders>
              <w:top w:val="nil"/>
            </w:tcBorders>
          </w:tcPr>
          <w:p w14:paraId="2D3DB765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腾讯</w:t>
            </w:r>
          </w:p>
        </w:tc>
        <w:tc>
          <w:tcPr>
            <w:tcW w:w="2542" w:type="pct"/>
            <w:tcBorders>
              <w:top w:val="nil"/>
            </w:tcBorders>
          </w:tcPr>
          <w:p w14:paraId="33B16E77">
            <w:pPr>
              <w:snapToGrid w:val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2017.</w:t>
            </w: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2-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2025.11</w:t>
            </w:r>
          </w:p>
        </w:tc>
      </w:tr>
      <w:tr w14:paraId="540CE8B9">
        <w:trPr>
          <w:trHeight w:val="454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289AC1E3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医疗健康事业部-产品经理</w:t>
            </w:r>
          </w:p>
        </w:tc>
      </w:tr>
      <w:tr w14:paraId="361F61D7">
        <w:trPr>
          <w:trHeight w:val="257" w:hRule="atLeast"/>
        </w:trPr>
        <w:tc>
          <w:tcPr>
            <w:tcW w:w="571" w:type="pct"/>
            <w:tcBorders>
              <w:top w:val="nil"/>
            </w:tcBorders>
            <w:tcMar>
              <w:right w:w="0" w:type="dxa"/>
            </w:tcMar>
          </w:tcPr>
          <w:p w14:paraId="0E48D115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下属人数：</w:t>
            </w:r>
          </w:p>
        </w:tc>
        <w:tc>
          <w:tcPr>
            <w:tcW w:w="4428" w:type="pct"/>
            <w:gridSpan w:val="2"/>
            <w:tcBorders>
              <w:top w:val="nil"/>
            </w:tcBorders>
            <w:tcMar>
              <w:left w:w="0" w:type="dxa"/>
            </w:tcMar>
          </w:tcPr>
          <w:p w14:paraId="1A89DE3C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4人</w:t>
            </w:r>
            <w:r>
              <w:rPr>
                <w:rFonts w:hint="eastAsia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正式，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外包）</w:t>
            </w:r>
          </w:p>
        </w:tc>
      </w:tr>
      <w:tr w14:paraId="7F215C19">
        <w:trPr>
          <w:trHeight w:val="257" w:hRule="atLeast"/>
        </w:trPr>
        <w:tc>
          <w:tcPr>
            <w:tcW w:w="571" w:type="pct"/>
            <w:tcBorders>
              <w:top w:val="nil"/>
            </w:tcBorders>
            <w:tcMar>
              <w:right w:w="0" w:type="dxa"/>
            </w:tcMar>
          </w:tcPr>
          <w:p w14:paraId="6CF937DD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职责业绩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4428" w:type="pct"/>
            <w:gridSpan w:val="2"/>
            <w:tcBorders>
              <w:top w:val="nil"/>
            </w:tcBorders>
            <w:tcMar>
              <w:left w:w="0" w:type="dxa"/>
            </w:tcMar>
          </w:tcPr>
          <w:p w14:paraId="6C612206">
            <w:pPr>
              <w:pStyle w:val="37"/>
              <w:spacing w:before="60" w:beforeAutospacing="0" w:after="60" w:afterAutospacing="0"/>
              <w:jc w:val="left"/>
              <w:rPr>
                <w:rFonts w:hint="eastAsia" w:eastAsia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产品规划：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基于业务战略，负责健康卡C端核心功能的规划与规模化增长。主导完成跨院领卡、身份认证等关键模块的设计与落地；通过渠道建设与精细化运营沉淀医疗核心流量，驱动产品实现累计用户6亿+、日活百万级的业务突破。</w:t>
            </w:r>
          </w:p>
          <w:p w14:paraId="614958B8">
            <w:pPr>
              <w:pStyle w:val="37"/>
              <w:spacing w:before="60" w:beforeAutospacing="0" w:after="60" w:afterAutospacing="0"/>
              <w:jc w:val="left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生态建设：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以提升对接效率与生态协同为目标，主导开放平台战略及产品体系建设，持续优化接入方案与流程，沉淀最优实践并推动规模化复制，连接超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2000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家生态伙伴，覆盖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余省市、4000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医疗机构。</w:t>
            </w:r>
          </w:p>
          <w:p w14:paraId="471EAEB6">
            <w:pPr>
              <w:pStyle w:val="37"/>
              <w:spacing w:before="60" w:beforeAutospacing="0" w:after="60" w:afterAutospacing="0"/>
              <w:jc w:val="lef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业绩：</w:t>
            </w:r>
            <w:r>
              <w:rPr>
                <w:sz w:val="21"/>
                <w:szCs w:val="21"/>
              </w:rPr>
              <w:t>五星</w:t>
            </w:r>
            <w:r>
              <w:rPr>
                <w:rFonts w:hint="eastAsia"/>
                <w:sz w:val="21"/>
                <w:szCs w:val="21"/>
              </w:rPr>
              <w:t>/四星员</w:t>
            </w:r>
            <w:r>
              <w:rPr>
                <w:sz w:val="21"/>
                <w:szCs w:val="21"/>
              </w:rPr>
              <w:t>工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</w:rPr>
              <w:t>公司业务突破奖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</w:rPr>
              <w:t>战疫特别贡献奖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</w:rPr>
              <w:t>公司微创新奖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sz w:val="21"/>
                <w:szCs w:val="21"/>
              </w:rPr>
              <w:t>BG业务突破奖</w:t>
            </w:r>
          </w:p>
        </w:tc>
      </w:tr>
      <w:tr w14:paraId="00CFD647">
        <w:trPr>
          <w:trHeight w:val="257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3DD71F12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5C9FEE9D">
        <w:trPr>
          <w:trHeight w:val="421" w:hRule="atLeast"/>
        </w:trPr>
        <w:tc>
          <w:tcPr>
            <w:tcW w:w="2457" w:type="pct"/>
            <w:gridSpan w:val="2"/>
            <w:tcBorders>
              <w:top w:val="nil"/>
            </w:tcBorders>
          </w:tcPr>
          <w:p w14:paraId="405C0203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搜狐</w:t>
            </w:r>
          </w:p>
        </w:tc>
        <w:tc>
          <w:tcPr>
            <w:tcW w:w="2542" w:type="pct"/>
            <w:tcBorders>
              <w:top w:val="nil"/>
            </w:tcBorders>
          </w:tcPr>
          <w:p w14:paraId="24C60AFA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2011.02-2017.01</w:t>
            </w:r>
          </w:p>
        </w:tc>
      </w:tr>
      <w:tr w14:paraId="3BCD8278">
        <w:tc>
          <w:tcPr>
            <w:tcW w:w="5000" w:type="pct"/>
            <w:gridSpan w:val="3"/>
            <w:tcBorders>
              <w:top w:val="nil"/>
            </w:tcBorders>
          </w:tcPr>
          <w:p w14:paraId="7E91D60C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下属人数：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人</w:t>
            </w:r>
          </w:p>
        </w:tc>
      </w:tr>
      <w:tr w14:paraId="3540DB9E">
        <w:trPr>
          <w:trHeight w:val="454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56131607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搜狐健康频道-责任编辑</w:t>
            </w:r>
          </w:p>
        </w:tc>
      </w:tr>
      <w:tr w14:paraId="056D8DA4">
        <w:trPr>
          <w:trHeight w:val="90" w:hRule="atLeast"/>
        </w:trPr>
        <w:tc>
          <w:tcPr>
            <w:tcW w:w="571" w:type="pct"/>
            <w:tcBorders>
              <w:top w:val="nil"/>
            </w:tcBorders>
            <w:tcMar>
              <w:right w:w="0" w:type="dxa"/>
            </w:tcMar>
          </w:tcPr>
          <w:p w14:paraId="14360468">
            <w:pPr>
              <w:snapToGrid w:val="0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职责业绩</w:t>
            </w:r>
            <w:r>
              <w:rPr>
                <w:rFonts w:hint="eastAsia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4428" w:type="pct"/>
            <w:gridSpan w:val="2"/>
            <w:tcBorders>
              <w:top w:val="nil"/>
            </w:tcBorders>
            <w:tcMar>
              <w:left w:w="0" w:type="dxa"/>
            </w:tcMar>
          </w:tcPr>
          <w:p w14:paraId="7753D29C">
            <w:pPr>
              <w:pStyle w:val="36"/>
              <w:spacing w:before="0" w:beforeAutospacing="0" w:after="0" w:afterAutospacing="0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统筹频道内容生成、策划与生态运营，对内容品质负责，并持续提升频道在业内影响力</w:t>
            </w:r>
          </w:p>
          <w:p w14:paraId="207A7CED">
            <w:pPr>
              <w:numPr>
                <w:ilvl w:val="0"/>
                <w:numId w:val="0"/>
              </w:numPr>
              <w:jc w:val="left"/>
              <w:rPr>
                <w:rFonts w:hint="eastAsia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</w:rPr>
              <w:t>专栏建设：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</w:rPr>
              <w:t>以人文视角和创新形式突破内容同质化瓶颈，主导策划《中国式病痛》等原创栏目及多个爆款专题，在内容深度和传播广度上均领先同类网站。过程中，系统积累了对患者、医生、药企等多方角色的第一手洞察，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  <w:lang w:val="en-US" w:eastAsia="zh-CN"/>
              </w:rPr>
              <w:t>及</w:t>
            </w:r>
            <w:r>
              <w:rPr>
                <w:rFonts w:hint="eastAsia" w:cs="Times New Roman"/>
                <w:b w:val="0"/>
                <w:bCs w:val="0"/>
                <w:sz w:val="21"/>
                <w:szCs w:val="21"/>
              </w:rPr>
              <w:t>医疗行业生态的立体认知</w:t>
            </w:r>
          </w:p>
          <w:p w14:paraId="131E8CC8">
            <w:pPr>
              <w:numPr>
                <w:ilvl w:val="0"/>
                <w:numId w:val="0"/>
              </w:numPr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b/>
                <w:bCs/>
                <w:sz w:val="21"/>
                <w:szCs w:val="21"/>
              </w:rPr>
              <w:t>KOL生态建设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cs="Times New Roman"/>
                <w:sz w:val="21"/>
                <w:szCs w:val="21"/>
              </w:rPr>
              <w:t>主导频道向自媒体平台转型，一年内引入超 5000 专业账号（50% 以上三甲医院资源），夯实了频道资源壁垒，并沉淀出一套生态运营方法及与医生群体的有效协作模式</w:t>
            </w:r>
          </w:p>
          <w:p w14:paraId="5809A78C">
            <w:pPr>
              <w:pStyle w:val="36"/>
              <w:spacing w:before="0" w:beforeAutospacing="0" w:after="0" w:afterAutospacing="0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b/>
                <w:bCs/>
                <w:sz w:val="21"/>
                <w:szCs w:val="21"/>
              </w:rPr>
              <w:t>业绩：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4</w:t>
            </w:r>
            <w:r>
              <w:rPr>
                <w:sz w:val="21"/>
                <w:szCs w:val="21"/>
              </w:rPr>
              <w:t>次绩效AA评定，多次A评定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sz w:val="21"/>
                <w:szCs w:val="21"/>
              </w:rPr>
              <w:t>年度公司优秀员工</w:t>
            </w:r>
            <w:r>
              <w:rPr>
                <w:rFonts w:hint="eastAsia"/>
                <w:sz w:val="21"/>
                <w:szCs w:val="21"/>
                <w:lang w:eastAsia="zh-CN"/>
              </w:rPr>
              <w:t>、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多次</w:t>
            </w:r>
            <w:r>
              <w:rPr>
                <w:sz w:val="21"/>
                <w:szCs w:val="21"/>
              </w:rPr>
              <w:t>中心优秀策划奖</w:t>
            </w:r>
          </w:p>
        </w:tc>
      </w:tr>
      <w:tr w14:paraId="01B508E9">
        <w:tc>
          <w:tcPr>
            <w:tcW w:w="5000" w:type="pct"/>
            <w:gridSpan w:val="3"/>
            <w:tcBorders>
              <w:top w:val="single" w:color="D1D1D1" w:themeColor="background2" w:themeShade="E6" w:sz="4" w:space="0"/>
            </w:tcBorders>
            <w:vAlign w:val="center"/>
          </w:tcPr>
          <w:p w14:paraId="51CB5CD4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033C00AC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14:paraId="19238898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项目经历</w:t>
            </w:r>
          </w:p>
        </w:tc>
      </w:tr>
    </w:tbl>
    <w:p w14:paraId="45CE2EDA">
      <w:pPr>
        <w:rPr>
          <w:rFonts w:hint="eastAsia"/>
          <w:color w:val="D1D1D1" w:themeColor="background2" w:themeShade="E6"/>
          <w:sz w:val="21"/>
          <w:szCs w:val="21"/>
        </w:rPr>
      </w:pPr>
    </w:p>
    <w:tbl>
      <w:tblPr>
        <w:tblStyle w:val="15"/>
        <w:tblW w:w="5001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718"/>
        <w:gridCol w:w="5007"/>
      </w:tblGrid>
      <w:tr w14:paraId="4CA84B40">
        <w:tc>
          <w:tcPr>
            <w:tcW w:w="2460" w:type="pct"/>
            <w:gridSpan w:val="2"/>
            <w:tcBorders>
              <w:top w:val="nil"/>
            </w:tcBorders>
          </w:tcPr>
          <w:p w14:paraId="11E7EA26">
            <w:pPr>
              <w:snapToGrid w:val="0"/>
              <w:jc w:val="left"/>
              <w:rPr>
                <w:rFonts w:hint="eastAsia"/>
                <w:b/>
                <w:bCs/>
                <w:sz w:val="21"/>
                <w:szCs w:val="21"/>
              </w:rPr>
            </w:pPr>
          </w:p>
          <w:p w14:paraId="3B7F7717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项目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一</w:t>
            </w:r>
            <w:r>
              <w:rPr>
                <w:rFonts w:hint="eastAsia"/>
                <w:b/>
                <w:bCs/>
                <w:sz w:val="21"/>
                <w:szCs w:val="21"/>
              </w:rPr>
              <w:t>：愈见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——</w:t>
            </w:r>
            <w:r>
              <w:rPr>
                <w:rFonts w:hint="eastAsia"/>
                <w:b/>
                <w:bCs/>
                <w:sz w:val="21"/>
                <w:szCs w:val="21"/>
              </w:rPr>
              <w:t>肺癌垂类AI就医助手（Demo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版</w:t>
            </w:r>
            <w:r>
              <w:rPr>
                <w:rFonts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2539" w:type="pct"/>
            <w:tcBorders>
              <w:top w:val="nil"/>
            </w:tcBorders>
          </w:tcPr>
          <w:p w14:paraId="255EF6AE">
            <w:pPr>
              <w:snapToGrid w:val="0"/>
              <w:jc w:val="right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sz w:val="21"/>
                <w:szCs w:val="21"/>
              </w:rPr>
              <w:t>20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26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p>
        </w:tc>
      </w:tr>
      <w:tr w14:paraId="12CA9E93">
        <w:trPr>
          <w:trHeight w:val="454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51BE2467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2FFB5E3F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</w:tcPr>
          <w:p w14:paraId="5F742834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背景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</w:tcPr>
          <w:p w14:paraId="349B2133">
            <w:pPr>
              <w:snapToGrid w:val="0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</w:rPr>
              <w:t>基于肺癌患者家庭深度访谈，精准洞察信息碎片化、心理支持缺失、就医流程繁琐三大痛点；独立设计并落地肺癌垂类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AI</w:t>
            </w:r>
            <w:r>
              <w:rPr>
                <w:rFonts w:hint="eastAsia"/>
                <w:sz w:val="21"/>
                <w:szCs w:val="21"/>
              </w:rPr>
              <w:t>助手，聚焦</w:t>
            </w:r>
            <w:r>
              <w:rPr>
                <w:rFonts w:hint="eastAsia"/>
                <w:b/>
                <w:bCs/>
                <w:sz w:val="21"/>
                <w:szCs w:val="21"/>
              </w:rPr>
              <w:t>专科知识与情感关怀</w:t>
            </w:r>
            <w:r>
              <w:rPr>
                <w:rFonts w:hint="eastAsia"/>
                <w:sz w:val="21"/>
                <w:szCs w:val="21"/>
              </w:rPr>
              <w:t>，提供贴合诊疗场景的陪伴式服务。</w:t>
            </w:r>
          </w:p>
        </w:tc>
      </w:tr>
      <w:tr w14:paraId="056DD18D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  <w:vAlign w:val="top"/>
          </w:tcPr>
          <w:p w14:paraId="47E8CDB3">
            <w:pPr>
              <w:snapToGrid w:val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主要工作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  <w:vAlign w:val="top"/>
          </w:tcPr>
          <w:p w14:paraId="480B4702">
            <w:pPr>
              <w:snapToGrid w:val="0"/>
              <w:jc w:val="left"/>
              <w:rPr>
                <w:rFonts w:hint="eastAsia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全链路架构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/>
                <w:sz w:val="21"/>
                <w:szCs w:val="21"/>
              </w:rPr>
              <w:t>设计“意图识别→任务拆解→工具调用→风险管控→主动调度”</w:t>
            </w:r>
            <w:r>
              <w:rPr>
                <w:rFonts w:hint="eastAsia"/>
                <w:b/>
                <w:bCs/>
                <w:sz w:val="21"/>
                <w:szCs w:val="21"/>
              </w:rPr>
              <w:t>智能体工作流</w:t>
            </w:r>
            <w:r>
              <w:rPr>
                <w:rFonts w:hint="eastAsia"/>
                <w:sz w:val="21"/>
                <w:szCs w:val="21"/>
              </w:rPr>
              <w:t>，明确模块职责与协同逻辑；保障医疗场景响应精准、流程闭环，为能力扩展预留模块化接口。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知识安全体系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以CSCO指南构建权威</w:t>
            </w:r>
            <w:r>
              <w:rPr>
                <w:rFonts w:hint="eastAsia"/>
                <w:b/>
                <w:bCs/>
                <w:sz w:val="21"/>
                <w:szCs w:val="21"/>
              </w:rPr>
              <w:t>RAG知识库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，实现内容可溯源；集成OCR报告识别、语音输入等</w:t>
            </w:r>
            <w:r>
              <w:rPr>
                <w:rFonts w:hint="eastAsia"/>
                <w:b/>
                <w:bCs/>
                <w:sz w:val="21"/>
                <w:szCs w:val="21"/>
              </w:rPr>
              <w:t>多模态交互能力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；嵌入</w:t>
            </w:r>
            <w:r>
              <w:rPr>
                <w:rFonts w:hint="eastAsia"/>
                <w:b/>
                <w:bCs/>
                <w:sz w:val="21"/>
                <w:szCs w:val="21"/>
              </w:rPr>
              <w:t>合规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声明与安全护栏，对高风险症状自动触发紧急就医提醒与强规则拦截。</w:t>
            </w:r>
          </w:p>
          <w:p w14:paraId="32DE6459">
            <w:pPr>
              <w:snapToGrid w:val="0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记忆关怀机制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构建“静态画像+动态对话”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eastAsia="zh-CN"/>
              </w:rPr>
              <w:t>双层记忆体系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，静态信息结构化采集，动态信息智能提取并实时更新病程节点，主动推送个性化服务，实现从工具问答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转向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有温度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陪伴。</w:t>
            </w:r>
          </w:p>
        </w:tc>
      </w:tr>
      <w:tr w14:paraId="280555F3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</w:tcPr>
          <w:p w14:paraId="1C78BB90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</w:tcPr>
          <w:p w14:paraId="6FB005ED">
            <w:pPr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独立主导0-1原型开发。建立评测体系，1周内将意图识别准确率从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10%提至70%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，对话连贯性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eastAsia="zh-CN"/>
              </w:rPr>
              <w:t>提升80%</w:t>
            </w:r>
            <w:r>
              <w:rPr>
                <w:rFonts w:hint="eastAsia" w:cs="Times New Roman"/>
                <w:sz w:val="21"/>
                <w:szCs w:val="21"/>
              </w:rPr>
              <w:t>。依托RAG架构解决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知识过时与幻觉问题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，</w:t>
            </w:r>
            <w:r>
              <w:rPr>
                <w:rFonts w:hint="eastAsia" w:cs="Times New Roman"/>
                <w:sz w:val="21"/>
                <w:szCs w:val="21"/>
              </w:rPr>
              <w:t>验证了垂直医疗 AI 产品的可落地路径。</w:t>
            </w:r>
          </w:p>
        </w:tc>
      </w:tr>
    </w:tbl>
    <w:p w14:paraId="12C977FD">
      <w:pPr>
        <w:rPr>
          <w:rFonts w:hint="eastAsia"/>
          <w:color w:val="D1D1D1" w:themeColor="background2" w:themeShade="E6"/>
          <w:sz w:val="21"/>
          <w:szCs w:val="21"/>
        </w:rPr>
      </w:pPr>
    </w:p>
    <w:tbl>
      <w:tblPr>
        <w:tblStyle w:val="15"/>
        <w:tblW w:w="5001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718"/>
        <w:gridCol w:w="5007"/>
      </w:tblGrid>
      <w:tr w14:paraId="5AB7EA5E">
        <w:tc>
          <w:tcPr>
            <w:tcW w:w="2460" w:type="pct"/>
            <w:gridSpan w:val="2"/>
            <w:tcBorders>
              <w:top w:val="nil"/>
            </w:tcBorders>
          </w:tcPr>
          <w:p w14:paraId="70656022">
            <w:pPr>
              <w:snapToGrid w:val="0"/>
              <w:jc w:val="left"/>
              <w:rPr>
                <w:rFonts w:hint="eastAsia"/>
                <w:b/>
                <w:bCs/>
                <w:sz w:val="21"/>
                <w:szCs w:val="21"/>
              </w:rPr>
            </w:pPr>
          </w:p>
          <w:p w14:paraId="5B05768C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项目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二</w:t>
            </w:r>
            <w:r>
              <w:rPr>
                <w:rFonts w:hint="eastAsia"/>
                <w:b/>
                <w:bCs/>
                <w:sz w:val="21"/>
                <w:szCs w:val="21"/>
              </w:rPr>
              <w:t>：开放平台2.0升级：接入模式重构</w:t>
            </w:r>
          </w:p>
        </w:tc>
        <w:tc>
          <w:tcPr>
            <w:tcW w:w="2539" w:type="pct"/>
            <w:tcBorders>
              <w:top w:val="nil"/>
            </w:tcBorders>
          </w:tcPr>
          <w:p w14:paraId="5B010DB2">
            <w:pPr>
              <w:snapToGrid w:val="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2023.6-2024.1</w:t>
            </w:r>
          </w:p>
        </w:tc>
      </w:tr>
      <w:tr w14:paraId="56B3431B">
        <w:trPr>
          <w:trHeight w:val="454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0D347274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3D26227D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</w:tcPr>
          <w:p w14:paraId="7F8FF474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背景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</w:tcPr>
          <w:p w14:paraId="5FA095C5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受外部环境影响，业务面临人力缩减、补贴策略调整，原有接入模式在</w:t>
            </w:r>
            <w:r>
              <w:rPr>
                <w:rFonts w:hint="eastAsia"/>
                <w:b/>
                <w:bCs/>
                <w:sz w:val="21"/>
                <w:szCs w:val="21"/>
              </w:rPr>
              <w:t>运营效率、外部动力遇阻</w:t>
            </w:r>
            <w:r>
              <w:rPr>
                <w:rFonts w:hint="eastAsia"/>
                <w:sz w:val="21"/>
                <w:szCs w:val="21"/>
              </w:rPr>
              <w:t>，我主导推动了平台</w:t>
            </w:r>
            <w:r>
              <w:rPr>
                <w:rFonts w:hint="eastAsia"/>
                <w:b/>
                <w:bCs/>
                <w:sz w:val="21"/>
                <w:szCs w:val="21"/>
              </w:rPr>
              <w:t>接入模式的系统性升级</w:t>
            </w:r>
            <w:r>
              <w:rPr>
                <w:rFonts w:hint="eastAsia"/>
                <w:sz w:val="21"/>
                <w:szCs w:val="21"/>
              </w:rPr>
              <w:t>，旨在突破资源限制下，实现业务稳步增长。</w:t>
            </w:r>
          </w:p>
        </w:tc>
      </w:tr>
      <w:tr w14:paraId="304FF1A3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  <w:vAlign w:val="top"/>
          </w:tcPr>
          <w:p w14:paraId="121A505B">
            <w:pPr>
              <w:snapToGrid w:val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主要工作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  <w:vAlign w:val="top"/>
          </w:tcPr>
          <w:p w14:paraId="5ABFB63C">
            <w:pPr>
              <w:snapToGrid w:val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模式</w:t>
            </w:r>
            <w:r>
              <w:rPr>
                <w:rFonts w:hint="eastAsia"/>
                <w:b/>
                <w:bCs/>
                <w:sz w:val="21"/>
                <w:szCs w:val="21"/>
              </w:rPr>
              <w:t>重构：</w:t>
            </w:r>
            <w:r>
              <w:rPr>
                <w:rFonts w:hint="eastAsia"/>
                <w:sz w:val="21"/>
                <w:szCs w:val="21"/>
              </w:rPr>
              <w:t>为提升接入效率，将原“后端接口对接”升级为</w:t>
            </w:r>
            <w:r>
              <w:rPr>
                <w:rFonts w:hint="eastAsia"/>
                <w:b/>
                <w:bCs/>
                <w:sz w:val="21"/>
                <w:szCs w:val="21"/>
              </w:rPr>
              <w:t>标准前端页面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/>
                <w:b/>
                <w:bCs/>
                <w:sz w:val="21"/>
                <w:szCs w:val="21"/>
              </w:rPr>
              <w:t>可视化配置一体化组件</w:t>
            </w:r>
            <w:r>
              <w:rPr>
                <w:rFonts w:hint="eastAsia"/>
                <w:sz w:val="21"/>
                <w:szCs w:val="21"/>
              </w:rPr>
              <w:t>，大幅降低开发成本；通过平台级兼容改造，实现机构与系统</w:t>
            </w:r>
            <w:r>
              <w:rPr>
                <w:rFonts w:hint="eastAsia"/>
                <w:b/>
                <w:bCs/>
                <w:sz w:val="21"/>
                <w:szCs w:val="21"/>
              </w:rPr>
              <w:t>灵活配置、分钟级生效</w:t>
            </w:r>
            <w:r>
              <w:rPr>
                <w:rFonts w:hint="eastAsia"/>
                <w:sz w:val="21"/>
                <w:szCs w:val="21"/>
              </w:rPr>
              <w:t>，解决多方联调低效问题，</w:t>
            </w:r>
            <w:r>
              <w:rPr>
                <w:rFonts w:hint="eastAsia"/>
                <w:b/>
                <w:bCs/>
                <w:sz w:val="21"/>
                <w:szCs w:val="21"/>
              </w:rPr>
              <w:t>对接周期从7天压缩至2天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75C2374B">
            <w:pPr>
              <w:snapToGrid w:val="0"/>
              <w:jc w:val="left"/>
              <w:rPr>
                <w:rFonts w:hint="default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价值赋能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针对存量升级、无证建卡等高频痛点，</w:t>
            </w:r>
            <w:r>
              <w:rPr>
                <w:rFonts w:hint="eastAsia"/>
                <w:b/>
                <w:bCs/>
                <w:sz w:val="21"/>
                <w:szCs w:val="21"/>
              </w:rPr>
              <w:t>预置模块化能力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；同步嵌入实名认证与异常兜底机制，满足医院对稳定性与安全性的核心诉求，有效</w:t>
            </w:r>
            <w:r>
              <w:rPr>
                <w:rFonts w:hint="eastAsia"/>
                <w:b/>
                <w:bCs/>
                <w:sz w:val="21"/>
                <w:szCs w:val="21"/>
              </w:rPr>
              <w:t>提升接入动力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，顺利完成试点落地。</w:t>
            </w:r>
          </w:p>
          <w:p w14:paraId="5D1D9CB3">
            <w:pPr>
              <w:snapToGrid w:val="0"/>
              <w:jc w:val="left"/>
              <w:rPr>
                <w:rFonts w:hint="eastAsia" w:eastAsia="宋体"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生态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复制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通过与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重点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服务商及医院合作打造标杆，</w:t>
            </w:r>
            <w:r>
              <w:rPr>
                <w:rFonts w:hint="eastAsia" w:cs="Times New Roman"/>
                <w:b/>
                <w:bCs/>
                <w:sz w:val="21"/>
                <w:szCs w:val="21"/>
                <w:lang w:eastAsia="zh-CN"/>
              </w:rPr>
              <w:t>沉淀标准接入方案文档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，快速完成批量复制。</w:t>
            </w:r>
          </w:p>
        </w:tc>
      </w:tr>
      <w:tr w14:paraId="33090F0B">
        <w:trPr>
          <w:trHeight w:val="257" w:hRule="atLeast"/>
        </w:trPr>
        <w:tc>
          <w:tcPr>
            <w:tcW w:w="574" w:type="pct"/>
            <w:tcBorders>
              <w:top w:val="nil"/>
            </w:tcBorders>
            <w:tcMar>
              <w:right w:w="0" w:type="dxa"/>
            </w:tcMar>
          </w:tcPr>
          <w:p w14:paraId="2D844AF0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5" w:type="pct"/>
            <w:gridSpan w:val="2"/>
            <w:tcBorders>
              <w:top w:val="nil"/>
            </w:tcBorders>
            <w:tcMar>
              <w:left w:w="0" w:type="dxa"/>
            </w:tcMar>
          </w:tcPr>
          <w:p w14:paraId="582C9CD9">
            <w:pPr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</w:rPr>
              <w:t>仅5个月完成“能力搭建→试点验证→快速复制”的全流程闭环。医疗机构月</w:t>
            </w:r>
            <w:r>
              <w:rPr>
                <w:rFonts w:hint="eastAsia" w:cs="Times New Roman"/>
                <w:b/>
                <w:bCs/>
                <w:sz w:val="21"/>
                <w:szCs w:val="21"/>
              </w:rPr>
              <w:t>接入速度提升150%</w:t>
            </w:r>
            <w:r>
              <w:rPr>
                <w:rFonts w:hint="eastAsia" w:cs="Times New Roman"/>
                <w:sz w:val="21"/>
                <w:szCs w:val="21"/>
              </w:rPr>
              <w:t>。已达成900家服务商对接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占比40%+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）</w:t>
            </w:r>
            <w:r>
              <w:rPr>
                <w:rFonts w:hint="eastAsia" w:cs="Times New Roman"/>
                <w:sz w:val="21"/>
                <w:szCs w:val="21"/>
              </w:rPr>
              <w:t>接入的规模。</w:t>
            </w:r>
          </w:p>
        </w:tc>
      </w:tr>
    </w:tbl>
    <w:p w14:paraId="310ED02A">
      <w:pPr>
        <w:rPr>
          <w:color w:val="D1D1D1" w:themeColor="background2" w:themeShade="E6"/>
          <w:sz w:val="21"/>
          <w:szCs w:val="21"/>
        </w:rPr>
      </w:pPr>
    </w:p>
    <w:tbl>
      <w:tblPr>
        <w:tblStyle w:val="15"/>
        <w:tblW w:w="5001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3718"/>
        <w:gridCol w:w="4997"/>
      </w:tblGrid>
      <w:tr w14:paraId="457D5A90">
        <w:tc>
          <w:tcPr>
            <w:tcW w:w="2465" w:type="pct"/>
            <w:gridSpan w:val="2"/>
            <w:tcBorders>
              <w:top w:val="nil"/>
            </w:tcBorders>
          </w:tcPr>
          <w:p w14:paraId="715EA51A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</w:p>
          <w:p w14:paraId="4FAAD081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项目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三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21"/>
                <w:szCs w:val="21"/>
              </w:rPr>
              <w:t>：医疗级统一身份认证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解决方案</w:t>
            </w:r>
            <w:r>
              <w:rPr>
                <w:rFonts w:hint="eastAsia"/>
                <w:b/>
                <w:bCs/>
                <w:sz w:val="21"/>
                <w:szCs w:val="21"/>
              </w:rPr>
              <w:t>​</w:t>
            </w:r>
          </w:p>
        </w:tc>
        <w:tc>
          <w:tcPr>
            <w:tcW w:w="2535" w:type="pct"/>
            <w:tcBorders>
              <w:top w:val="nil"/>
            </w:tcBorders>
          </w:tcPr>
          <w:p w14:paraId="70C4225F">
            <w:pPr>
              <w:snapToGrid w:val="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202</w:t>
            </w: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.</w:t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至今</w:t>
            </w:r>
          </w:p>
        </w:tc>
      </w:tr>
      <w:tr w14:paraId="7BF0168F">
        <w:trPr>
          <w:trHeight w:val="454" w:hRule="atLeast"/>
        </w:trPr>
        <w:tc>
          <w:tcPr>
            <w:tcW w:w="5000" w:type="pct"/>
            <w:gridSpan w:val="3"/>
            <w:tcBorders>
              <w:top w:val="nil"/>
            </w:tcBorders>
          </w:tcPr>
          <w:p w14:paraId="523D2D32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45D0FCCB">
        <w:trPr>
          <w:trHeight w:val="257" w:hRule="atLeast"/>
        </w:trPr>
        <w:tc>
          <w:tcPr>
            <w:tcW w:w="579" w:type="pct"/>
            <w:tcBorders>
              <w:top w:val="nil"/>
            </w:tcBorders>
            <w:tcMar>
              <w:right w:w="0" w:type="dxa"/>
            </w:tcMar>
          </w:tcPr>
          <w:p w14:paraId="73D5EF09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项目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背景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1" w:type="pct"/>
            <w:gridSpan w:val="2"/>
            <w:tcBorders>
              <w:top w:val="nil"/>
            </w:tcBorders>
            <w:tcMar>
              <w:left w:w="0" w:type="dxa"/>
            </w:tcMar>
          </w:tcPr>
          <w:p w14:paraId="42B5FFD8">
            <w:pPr>
              <w:snapToGrid w:val="0"/>
              <w:jc w:val="left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针对健康卡敏感操作场景实名验证薄弱、服务商标准不统一、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存在安全与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使用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风险</w:t>
            </w:r>
            <w:r>
              <w:rPr>
                <w:rFonts w:hint="eastAsia"/>
                <w:b w:val="0"/>
                <w:bCs w:val="0"/>
                <w:sz w:val="21"/>
                <w:szCs w:val="21"/>
                <w:lang w:eastAsia="zh-CN"/>
              </w:rPr>
              <w:t>等问题</w:t>
            </w:r>
            <w:r>
              <w:rPr>
                <w:rFonts w:hint="eastAsia"/>
                <w:sz w:val="21"/>
                <w:szCs w:val="21"/>
                <w:lang w:eastAsia="zh-CN"/>
              </w:rPr>
              <w:t>，我设计并落地平台级</w:t>
            </w:r>
            <w:r>
              <w:rPr>
                <w:rFonts w:hint="eastAsia"/>
                <w:b/>
                <w:bCs/>
                <w:sz w:val="21"/>
                <w:szCs w:val="21"/>
                <w:lang w:eastAsia="zh-CN"/>
              </w:rPr>
              <w:t>统一身份验证组件</w:t>
            </w:r>
            <w:r>
              <w:rPr>
                <w:rFonts w:hint="eastAsia"/>
                <w:sz w:val="21"/>
                <w:szCs w:val="21"/>
                <w:lang w:eastAsia="zh-CN"/>
              </w:rPr>
              <w:t>，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从底层确保了深度用卡场景的安全合规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</w:tr>
      <w:tr w14:paraId="4C7125EF">
        <w:trPr>
          <w:trHeight w:val="257" w:hRule="atLeast"/>
        </w:trPr>
        <w:tc>
          <w:tcPr>
            <w:tcW w:w="579" w:type="pct"/>
            <w:tcBorders>
              <w:top w:val="nil"/>
            </w:tcBorders>
            <w:tcMar>
              <w:right w:w="0" w:type="dxa"/>
            </w:tcMar>
          </w:tcPr>
          <w:p w14:paraId="3C91D539">
            <w:pPr>
              <w:snapToGrid w:val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主要工作：</w:t>
            </w:r>
          </w:p>
        </w:tc>
        <w:tc>
          <w:tcPr>
            <w:tcW w:w="4421" w:type="pct"/>
            <w:gridSpan w:val="2"/>
            <w:tcBorders>
              <w:top w:val="nil"/>
            </w:tcBorders>
            <w:tcMar>
              <w:left w:w="0" w:type="dxa"/>
            </w:tcMar>
          </w:tcPr>
          <w:p w14:paraId="0DE39792">
            <w:pPr>
              <w:snapToGrid w:val="0"/>
              <w:jc w:val="left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能力构建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搭建覆盖全人群分层认证组件体系。针对</w:t>
            </w:r>
            <w:r>
              <w:rPr>
                <w:rFonts w:hint="eastAsia"/>
                <w:b/>
                <w:bCs/>
                <w:sz w:val="21"/>
                <w:szCs w:val="21"/>
              </w:rPr>
              <w:t>老幼认证失败率高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问题，通过扩展监护人验证、证件识别、远程授权等能力，将成功率从60-80%</w:t>
            </w:r>
            <w:r>
              <w:rPr>
                <w:rFonts w:hint="eastAsia"/>
                <w:b/>
                <w:bCs/>
                <w:sz w:val="21"/>
                <w:szCs w:val="21"/>
              </w:rPr>
              <w:t>提升至90%以上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。</w:t>
            </w:r>
          </w:p>
          <w:p w14:paraId="05B36088">
            <w:pPr>
              <w:snapToGrid w:val="0"/>
              <w:jc w:val="left"/>
              <w:rPr>
                <w:rFonts w:hint="eastAsia"/>
                <w:b w:val="0"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策略优化</w:t>
            </w:r>
            <w:r>
              <w:rPr>
                <w:rFonts w:hint="eastAsia"/>
                <w:b/>
                <w:bCs/>
                <w:sz w:val="21"/>
                <w:szCs w:val="21"/>
              </w:rPr>
              <w:t>：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满足差异化需求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，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打造支持静态配置与动态响应的平台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机制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。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既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支持机构按场景预设流程，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也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>能实时识别用户风险行为（如异常绑定）并动态调整认证策略。</w:t>
            </w:r>
          </w:p>
          <w:p w14:paraId="2B9779FF">
            <w:pPr>
              <w:snapToGrid w:val="0"/>
              <w:jc w:val="left"/>
              <w:rPr>
                <w:rFonts w:hint="default"/>
                <w:sz w:val="21"/>
                <w:szCs w:val="21"/>
                <w:lang w:val="en-US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降本提效：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建立状态互信，外部跨机构、内部跨业务，用户“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一次认证，多点通行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”。通过统一路由网关，打通卫健委与业务自有认证接口，服务商即配即用，</w:t>
            </w: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缩短对接时长7天以上</w:t>
            </w: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。</w:t>
            </w:r>
          </w:p>
        </w:tc>
      </w:tr>
      <w:tr w14:paraId="71C4F072">
        <w:trPr>
          <w:trHeight w:val="257" w:hRule="atLeast"/>
        </w:trPr>
        <w:tc>
          <w:tcPr>
            <w:tcW w:w="579" w:type="pct"/>
            <w:tcBorders>
              <w:top w:val="nil"/>
            </w:tcBorders>
            <w:tcMar>
              <w:right w:w="0" w:type="dxa"/>
            </w:tcMar>
          </w:tcPr>
          <w:p w14:paraId="63DF4ACC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项目</w:t>
            </w:r>
            <w:r>
              <w:rPr>
                <w:rFonts w:hint="eastAsia"/>
                <w:sz w:val="21"/>
                <w:szCs w:val="21"/>
              </w:rPr>
              <w:t>成果</w:t>
            </w:r>
            <w:r>
              <w:rPr>
                <w:sz w:val="21"/>
                <w:szCs w:val="21"/>
              </w:rPr>
              <w:t>：</w:t>
            </w:r>
          </w:p>
        </w:tc>
        <w:tc>
          <w:tcPr>
            <w:tcW w:w="4421" w:type="pct"/>
            <w:gridSpan w:val="2"/>
            <w:tcBorders>
              <w:top w:val="nil"/>
            </w:tcBorders>
            <w:tcMar>
              <w:left w:w="0" w:type="dxa"/>
            </w:tcMar>
          </w:tcPr>
          <w:p w14:paraId="4EF6A6C2">
            <w:pPr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方案</w:t>
            </w:r>
            <w:r>
              <w:rPr>
                <w:rFonts w:hint="eastAsia" w:cs="Times New Roman"/>
                <w:sz w:val="21"/>
                <w:szCs w:val="21"/>
              </w:rPr>
              <w:t>覆盖全国1400余家医疗机构（占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比3</w:t>
            </w:r>
            <w:r>
              <w:rPr>
                <w:rFonts w:hint="eastAsia" w:cs="Times New Roman"/>
                <w:sz w:val="21"/>
                <w:szCs w:val="21"/>
              </w:rPr>
              <w:t>0%+），在吉林大学第二医院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等</w:t>
            </w:r>
            <w:r>
              <w:rPr>
                <w:rFonts w:hint="eastAsia" w:cs="Times New Roman"/>
                <w:sz w:val="21"/>
                <w:szCs w:val="21"/>
              </w:rPr>
              <w:t>的防黄牛场景，湖南省家庭医生签约场景中落地，形成标杆效应。通过牵头拉通部门内各业务线用户认证状态，节省相关成本80%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+</w:t>
            </w:r>
            <w:r>
              <w:rPr>
                <w:rFonts w:hint="eastAsia" w:cs="Times New Roman"/>
                <w:sz w:val="21"/>
                <w:szCs w:val="21"/>
              </w:rPr>
              <w:t>。</w:t>
            </w:r>
          </w:p>
        </w:tc>
      </w:tr>
    </w:tbl>
    <w:p w14:paraId="5317C64F">
      <w:pPr>
        <w:rPr>
          <w:color w:val="D1D1D1" w:themeColor="background2" w:themeShade="E6"/>
          <w:sz w:val="21"/>
          <w:szCs w:val="21"/>
        </w:rPr>
      </w:pPr>
    </w:p>
    <w:tbl>
      <w:tblPr>
        <w:tblStyle w:val="15"/>
        <w:tblW w:w="5000" w:type="pct"/>
        <w:tblInd w:w="0" w:type="dxa"/>
        <w:tblBorders>
          <w:top w:val="single" w:color="D1D1D1" w:themeColor="background2" w:themeShade="E6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9"/>
        <w:gridCol w:w="3851"/>
        <w:gridCol w:w="2864"/>
      </w:tblGrid>
      <w:tr w14:paraId="070FD7D1">
        <w:tc>
          <w:tcPr>
            <w:tcW w:w="5000" w:type="pct"/>
            <w:gridSpan w:val="3"/>
            <w:tcBorders>
              <w:top w:val="single" w:color="D1D1D1" w:themeColor="background2" w:themeShade="E6" w:sz="4" w:space="0"/>
            </w:tcBorders>
            <w:vAlign w:val="center"/>
          </w:tcPr>
          <w:p w14:paraId="54CAE714">
            <w:pPr>
              <w:snapToGrid w:val="0"/>
              <w:jc w:val="left"/>
              <w:rPr>
                <w:sz w:val="21"/>
                <w:szCs w:val="21"/>
              </w:rPr>
            </w:pPr>
          </w:p>
        </w:tc>
      </w:tr>
      <w:tr w14:paraId="26793E52">
        <w:tc>
          <w:tcPr>
            <w:tcW w:w="5000" w:type="pct"/>
            <w:gridSpan w:val="3"/>
            <w:tcBorders>
              <w:top w:val="nil"/>
            </w:tcBorders>
            <w:vAlign w:val="center"/>
          </w:tcPr>
          <w:p w14:paraId="05D70F79">
            <w:pPr>
              <w:snapToGrid w:val="0"/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教育经历</w:t>
            </w:r>
          </w:p>
        </w:tc>
      </w:tr>
      <w:tr w14:paraId="040B8782">
        <w:tc>
          <w:tcPr>
            <w:tcW w:w="1593" w:type="pct"/>
            <w:tcBorders>
              <w:top w:val="nil"/>
              <w:bottom w:val="nil"/>
            </w:tcBorders>
          </w:tcPr>
          <w:p w14:paraId="14588D75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吉林农业大学</w:t>
            </w:r>
          </w:p>
        </w:tc>
        <w:tc>
          <w:tcPr>
            <w:tcW w:w="1954" w:type="pct"/>
            <w:tcBorders>
              <w:top w:val="nil"/>
              <w:bottom w:val="nil"/>
            </w:tcBorders>
          </w:tcPr>
          <w:p w14:paraId="243787CA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信息管理与信息系统/本科</w:t>
            </w:r>
          </w:p>
        </w:tc>
        <w:tc>
          <w:tcPr>
            <w:tcW w:w="1452" w:type="pct"/>
            <w:tcBorders>
              <w:top w:val="nil"/>
              <w:bottom w:val="nil"/>
            </w:tcBorders>
          </w:tcPr>
          <w:p w14:paraId="01611266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2005.09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2009.07</w:t>
            </w:r>
          </w:p>
        </w:tc>
      </w:tr>
      <w:tr w14:paraId="263F01BD">
        <w:tc>
          <w:tcPr>
            <w:tcW w:w="5000" w:type="pct"/>
            <w:gridSpan w:val="3"/>
            <w:tcBorders>
              <w:top w:val="nil"/>
            </w:tcBorders>
          </w:tcPr>
          <w:p w14:paraId="495A3F66">
            <w:pPr>
              <w:snapToGrid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英语(CET4)、计算机二级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  <w:r>
              <w:rPr>
                <w:rFonts w:hint="eastAsia"/>
                <w:sz w:val="21"/>
                <w:szCs w:val="21"/>
              </w:rPr>
              <w:t>获国家励志奖学金、多次校奖学金</w:t>
            </w:r>
          </w:p>
        </w:tc>
      </w:tr>
    </w:tbl>
    <w:p w14:paraId="555C2F47">
      <w:pPr>
        <w:rPr>
          <w:rFonts w:hint="eastAsia"/>
          <w:sz w:val="21"/>
          <w:szCs w:val="21"/>
        </w:rPr>
      </w:pPr>
    </w:p>
    <w:sectPr>
      <w:footerReference r:id="rId3" w:type="default"/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1B709">
    <w:pPr>
      <w:pStyle w:val="11"/>
      <w:jc w:val="both"/>
      <w:rPr>
        <w:color w:val="AEAEAE" w:themeColor="background2" w:themeShade="BF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14F"/>
    <w:rsid w:val="00050C64"/>
    <w:rsid w:val="00080067"/>
    <w:rsid w:val="000B5457"/>
    <w:rsid w:val="000D55A6"/>
    <w:rsid w:val="00103205"/>
    <w:rsid w:val="001242DC"/>
    <w:rsid w:val="00170CF6"/>
    <w:rsid w:val="001870AB"/>
    <w:rsid w:val="00192B22"/>
    <w:rsid w:val="00232C4D"/>
    <w:rsid w:val="0026672F"/>
    <w:rsid w:val="00275BEE"/>
    <w:rsid w:val="00414C6B"/>
    <w:rsid w:val="00444CEC"/>
    <w:rsid w:val="00473634"/>
    <w:rsid w:val="00496F2E"/>
    <w:rsid w:val="005073ED"/>
    <w:rsid w:val="005B29BD"/>
    <w:rsid w:val="005C3761"/>
    <w:rsid w:val="0065758A"/>
    <w:rsid w:val="00686B73"/>
    <w:rsid w:val="006A7989"/>
    <w:rsid w:val="006C5D74"/>
    <w:rsid w:val="0071174B"/>
    <w:rsid w:val="0073645E"/>
    <w:rsid w:val="008356DE"/>
    <w:rsid w:val="008635FB"/>
    <w:rsid w:val="00902290"/>
    <w:rsid w:val="0097414F"/>
    <w:rsid w:val="009B55E9"/>
    <w:rsid w:val="00A1137C"/>
    <w:rsid w:val="00AE0335"/>
    <w:rsid w:val="00AF56E0"/>
    <w:rsid w:val="00B72352"/>
    <w:rsid w:val="00BC2303"/>
    <w:rsid w:val="00C31758"/>
    <w:rsid w:val="00C45168"/>
    <w:rsid w:val="00D64172"/>
    <w:rsid w:val="00E978AA"/>
    <w:rsid w:val="00FA356B"/>
    <w:rsid w:val="00FB6EE8"/>
    <w:rsid w:val="1B5791B5"/>
    <w:rsid w:val="1D7D29F7"/>
    <w:rsid w:val="1FFFF9D5"/>
    <w:rsid w:val="377C751E"/>
    <w:rsid w:val="39DBCD05"/>
    <w:rsid w:val="3DEB6D10"/>
    <w:rsid w:val="3E1EDAB7"/>
    <w:rsid w:val="47ABC9ED"/>
    <w:rsid w:val="4EFF4517"/>
    <w:rsid w:val="527F32A1"/>
    <w:rsid w:val="57BB5A3C"/>
    <w:rsid w:val="57EDE085"/>
    <w:rsid w:val="57FC4B63"/>
    <w:rsid w:val="587FC8A7"/>
    <w:rsid w:val="5AF97A15"/>
    <w:rsid w:val="5EF79186"/>
    <w:rsid w:val="5FEFF4C3"/>
    <w:rsid w:val="67397E75"/>
    <w:rsid w:val="67AEFFE4"/>
    <w:rsid w:val="6C5F4B3B"/>
    <w:rsid w:val="6F9E2798"/>
    <w:rsid w:val="6FEDFF96"/>
    <w:rsid w:val="73FE9906"/>
    <w:rsid w:val="7657C410"/>
    <w:rsid w:val="777B98C3"/>
    <w:rsid w:val="77FBACC2"/>
    <w:rsid w:val="7BFF9673"/>
    <w:rsid w:val="7DFF9F72"/>
    <w:rsid w:val="7EDFBD78"/>
    <w:rsid w:val="7EEF7244"/>
    <w:rsid w:val="7F515222"/>
    <w:rsid w:val="7FFD5106"/>
    <w:rsid w:val="7FFF13DD"/>
    <w:rsid w:val="8C3E7828"/>
    <w:rsid w:val="8FF7BED1"/>
    <w:rsid w:val="99EBEEE7"/>
    <w:rsid w:val="9A7792F7"/>
    <w:rsid w:val="A9FDD0D2"/>
    <w:rsid w:val="AAF2E3CD"/>
    <w:rsid w:val="AF378173"/>
    <w:rsid w:val="BD3C02B1"/>
    <w:rsid w:val="BDFFFDB2"/>
    <w:rsid w:val="BEF76721"/>
    <w:rsid w:val="BFBC926E"/>
    <w:rsid w:val="CA7EA25E"/>
    <w:rsid w:val="D35B811D"/>
    <w:rsid w:val="DB337E44"/>
    <w:rsid w:val="DB737295"/>
    <w:rsid w:val="DDCEB4EE"/>
    <w:rsid w:val="DEFB34A7"/>
    <w:rsid w:val="DF9FB1AF"/>
    <w:rsid w:val="DFFD1963"/>
    <w:rsid w:val="E6BF5A98"/>
    <w:rsid w:val="E7FFE590"/>
    <w:rsid w:val="EBE93941"/>
    <w:rsid w:val="ED9ED9E7"/>
    <w:rsid w:val="EE7F3AEA"/>
    <w:rsid w:val="EF1EDF34"/>
    <w:rsid w:val="EFB7C815"/>
    <w:rsid w:val="EFDF4C90"/>
    <w:rsid w:val="EFF4005D"/>
    <w:rsid w:val="EFFFD92A"/>
    <w:rsid w:val="F2FFA4C9"/>
    <w:rsid w:val="F69F08C8"/>
    <w:rsid w:val="F7FC21EF"/>
    <w:rsid w:val="F9DF8925"/>
    <w:rsid w:val="FB3F1689"/>
    <w:rsid w:val="FBFF01F9"/>
    <w:rsid w:val="FC9713F7"/>
    <w:rsid w:val="FCCB476E"/>
    <w:rsid w:val="FD7AB349"/>
    <w:rsid w:val="FDFDBA20"/>
    <w:rsid w:val="FEFF3593"/>
    <w:rsid w:val="FF6F0074"/>
    <w:rsid w:val="FFBD4A3C"/>
    <w:rsid w:val="FFBF2CF6"/>
    <w:rsid w:val="FFCD86A1"/>
    <w:rsid w:val="FFFDA76C"/>
    <w:rsid w:val="FFFFB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1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1"/>
    <w:pPr>
      <w:jc w:val="center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脚 字符"/>
    <w:basedOn w:val="16"/>
    <w:link w:val="11"/>
    <w:uiPriority w:val="99"/>
    <w:rPr>
      <w:rFonts w:ascii="Times New Roman" w:hAnsi="Times New Roman" w:eastAsia="宋体" w:cs="Times New Roman"/>
      <w:sz w:val="18"/>
      <w:szCs w:val="18"/>
      <w14:ligatures w14:val="none"/>
    </w:rPr>
  </w:style>
  <w:style w:type="paragraph" w:customStyle="1" w:styleId="36">
    <w:name w:val="ql-long-3971032"/>
    <w:basedOn w:val="1"/>
    <w:uiPriority w:val="0"/>
    <w:pPr>
      <w:spacing w:before="100" w:beforeAutospacing="1" w:after="100" w:afterAutospacing="1"/>
    </w:pPr>
  </w:style>
  <w:style w:type="paragraph" w:customStyle="1" w:styleId="37">
    <w:name w:val="paragraph"/>
    <w:basedOn w:val="1"/>
    <w:uiPriority w:val="0"/>
    <w:pPr>
      <w:spacing w:before="100" w:beforeAutospacing="1" w:after="100" w:afterAutospacing="1"/>
    </w:pPr>
  </w:style>
  <w:style w:type="character" w:customStyle="1" w:styleId="38">
    <w:name w:val="s1"/>
    <w:basedOn w:val="16"/>
    <w:uiPriority w:val="0"/>
    <w:rPr>
      <w:rFonts w:ascii="Helvetica Neue" w:hAnsi="Helvetica Neue" w:eastAsia="Helvetica Neue" w:cs="Helvetica Neue"/>
      <w:sz w:val="28"/>
      <w:szCs w:val="28"/>
    </w:rPr>
  </w:style>
  <w:style w:type="paragraph" w:customStyle="1" w:styleId="39">
    <w:name w:val="p1"/>
    <w:basedOn w:val="1"/>
    <w:uiPriority w:val="0"/>
    <w:pPr>
      <w:spacing w:before="0" w:beforeAutospacing="0" w:after="0" w:afterAutospacing="0" w:line="640" w:lineRule="atLeast"/>
      <w:ind w:left="0" w:right="0"/>
      <w:jc w:val="left"/>
    </w:pPr>
    <w:rPr>
      <w:rFonts w:ascii="PingFang SC" w:hAnsi="PingFang SC" w:eastAsia="PingFang SC" w:cs="PingFang SC"/>
      <w:color w:val="FFFFFF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2125</Words>
  <Characters>2297</Characters>
  <Lines>17</Lines>
  <Paragraphs>4</Paragraphs>
  <TotalTime>2542</TotalTime>
  <ScaleCrop>false</ScaleCrop>
  <LinksUpToDate>false</LinksUpToDate>
  <CharactersWithSpaces>2345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2025-10-16T02:49:00Z</dcterms:created>
  <dc:creator>T163209</dc:creator>
  <cp:lastModifiedBy>WPS_1643450934</cp:lastModifiedBy>
  <cp:lastPrinted>2025-10-16T02:49:00Z</cp:lastPrinted>
  <dcterms:modified xsi:type="dcterms:W3CDTF">2026-03-31T22:38:51Z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206B6A998F881F7E7BDCCB69978128C0_43</vt:lpwstr>
  </property>
</Properties>
</file>