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528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1. 中性粒细胞绝对值（NE#）—— 感染风险核心指标</w:t>
      </w:r>
    </w:p>
    <w:p w14:paraId="40DE2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5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关键规则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：必须看</w:t>
      </w:r>
      <w:r>
        <w:rPr>
          <w:rStyle w:val="5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绝对值（#）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，不可用百分比（%）判断；白细胞总数仅为辅助参考。</w:t>
      </w:r>
    </w:p>
    <w:tbl>
      <w:tblPr>
        <w:tblW w:w="91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1722"/>
        <w:gridCol w:w="6135"/>
      </w:tblGrid>
      <w:tr w14:paraId="03E3C49F">
        <w:trPr>
          <w:trHeight w:val="1095" w:hRule="atLeast"/>
          <w:tblHeader/>
        </w:trPr>
        <w:tc>
          <w:tcPr>
            <w:tcW w:w="12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1F56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分级</w:t>
            </w:r>
          </w:p>
        </w:tc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F38B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数值范围（×10⁹/L）</w:t>
            </w:r>
          </w:p>
        </w:tc>
        <w:tc>
          <w:tcPr>
            <w:tcW w:w="65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CAFD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核心处理原则</w:t>
            </w:r>
          </w:p>
        </w:tc>
      </w:tr>
      <w:tr w14:paraId="792B25A1">
        <w:trPr>
          <w:trHeight w:val="560" w:hRule="atLeast"/>
        </w:trPr>
        <w:tc>
          <w:tcPr>
            <w:tcW w:w="12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7358B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7156A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2.0–7.5</w:t>
            </w:r>
          </w:p>
        </w:tc>
        <w:tc>
          <w:tcPr>
            <w:tcW w:w="65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4B2E5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无需干预，常规监测</w:t>
            </w:r>
          </w:p>
        </w:tc>
      </w:tr>
      <w:tr w14:paraId="318E599F">
        <w:trPr>
          <w:trHeight w:val="560" w:hRule="atLeast"/>
        </w:trPr>
        <w:tc>
          <w:tcPr>
            <w:tcW w:w="12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4BAD5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Ⅰ 度抑制</w:t>
            </w:r>
          </w:p>
        </w:tc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68780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1.5–2.0</w:t>
            </w:r>
          </w:p>
        </w:tc>
        <w:tc>
          <w:tcPr>
            <w:tcW w:w="65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6B73B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居家观察，避免人群聚集，口服升白药物，每日监测体温，隔天复查</w:t>
            </w:r>
          </w:p>
        </w:tc>
      </w:tr>
      <w:tr w14:paraId="753CA055">
        <w:trPr>
          <w:trHeight w:val="560" w:hRule="atLeast"/>
        </w:trPr>
        <w:tc>
          <w:tcPr>
            <w:tcW w:w="12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AF60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Ⅱ 度抑制</w:t>
            </w:r>
          </w:p>
        </w:tc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52D36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1.0–1.5</w:t>
            </w:r>
          </w:p>
        </w:tc>
        <w:tc>
          <w:tcPr>
            <w:tcW w:w="65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EB221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联系主治医生，评估短效升白针使用，每日复查血常规，预防性抗感染</w:t>
            </w:r>
          </w:p>
        </w:tc>
      </w:tr>
      <w:tr w14:paraId="070F69D0">
        <w:trPr>
          <w:trHeight w:val="560" w:hRule="atLeast"/>
        </w:trPr>
        <w:tc>
          <w:tcPr>
            <w:tcW w:w="12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6CA15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Ⅲ 度抑制</w:t>
            </w:r>
          </w:p>
        </w:tc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06FC7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0.5–1.0</w:t>
            </w:r>
          </w:p>
        </w:tc>
        <w:tc>
          <w:tcPr>
            <w:tcW w:w="65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3BBE9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高危状态，立即就医，启动强效升白治疗，严格隔离，避免有创操作</w:t>
            </w:r>
          </w:p>
        </w:tc>
      </w:tr>
      <w:tr w14:paraId="53A55653">
        <w:trPr>
          <w:trHeight w:val="845" w:hRule="atLeast"/>
        </w:trPr>
        <w:tc>
          <w:tcPr>
            <w:tcW w:w="12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DD51D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Ⅳ 度抑制（粒细胞缺乏）</w:t>
            </w:r>
          </w:p>
        </w:tc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E1025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&lt;0.5</w:t>
            </w:r>
          </w:p>
        </w:tc>
        <w:tc>
          <w:tcPr>
            <w:tcW w:w="653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0D0BE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致命感染风险，急诊住院，层流隔离，强效升白 + 广谱抗感染治疗</w:t>
            </w:r>
          </w:p>
        </w:tc>
      </w:tr>
    </w:tbl>
    <w:p w14:paraId="7A03C5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</w:pPr>
    </w:p>
    <w:p w14:paraId="3BE5FB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2. 血小板计数（PLT）—— 出血风险核心指标</w:t>
      </w:r>
    </w:p>
    <w:p w14:paraId="06DDD58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关键规则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：低谷期通常在化疗后 10–14 天，需持续监测；若患者服用抗凝药（如阿司匹林），血小板 &lt; 100×10⁹/L 需暂停抗凝并咨询专科医生。</w:t>
      </w:r>
    </w:p>
    <w:p w14:paraId="71F7F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tbl>
      <w:tblPr>
        <w:tblW w:w="8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7"/>
        <w:gridCol w:w="1722"/>
        <w:gridCol w:w="6240"/>
      </w:tblGrid>
      <w:tr w14:paraId="7A8A7450">
        <w:trPr>
          <w:trHeight w:val="927" w:hRule="atLeast"/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DA4D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分级</w:t>
            </w:r>
          </w:p>
        </w:tc>
        <w:tc>
          <w:tcPr>
            <w:tcW w:w="15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985A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数值范围（×10⁹/L）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99E5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核心处理原则</w:t>
            </w:r>
          </w:p>
        </w:tc>
      </w:tr>
      <w:tr w14:paraId="4B94CA13">
        <w:trPr>
          <w:trHeight w:val="627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B8DEF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15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37577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100–300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8C92B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无需干预，常规监测</w:t>
            </w:r>
          </w:p>
        </w:tc>
      </w:tr>
      <w:tr w14:paraId="61DF44AC">
        <w:trPr>
          <w:trHeight w:val="627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742B9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Ⅰ 度减少</w:t>
            </w:r>
          </w:p>
        </w:tc>
        <w:tc>
          <w:tcPr>
            <w:tcW w:w="15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F0400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75–100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F2AF6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暂停抗凝药，避免磕碰 / 剧烈活动，软食，每周复查 2 次</w:t>
            </w:r>
          </w:p>
        </w:tc>
      </w:tr>
      <w:tr w14:paraId="15313620">
        <w:trPr>
          <w:trHeight w:val="627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AA7C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Ⅱ 度减少</w:t>
            </w:r>
          </w:p>
        </w:tc>
        <w:tc>
          <w:tcPr>
            <w:tcW w:w="15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BFCF2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50–75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A0CD5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启动升血小板药物治疗，隔天复查，严格限制活动</w:t>
            </w:r>
          </w:p>
        </w:tc>
      </w:tr>
      <w:tr w14:paraId="4EEF7B0D">
        <w:trPr>
          <w:trHeight w:val="627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DDCD2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Ⅲ 度减少</w:t>
            </w:r>
          </w:p>
        </w:tc>
        <w:tc>
          <w:tcPr>
            <w:tcW w:w="15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91645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25–50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1C36F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高危出血风险，立即就医，绝对卧床，禁止刷牙 / 肌注等有创操作</w:t>
            </w:r>
          </w:p>
        </w:tc>
      </w:tr>
      <w:tr w14:paraId="7454E519">
        <w:trPr>
          <w:trHeight w:val="646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FED82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Ⅳ 度减少</w:t>
            </w:r>
          </w:p>
        </w:tc>
        <w:tc>
          <w:tcPr>
            <w:tcW w:w="15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2178D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&lt;25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F9715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致命出血风险，急诊住院，输注血小板 + 强效升板治疗</w:t>
            </w:r>
          </w:p>
        </w:tc>
      </w:tr>
    </w:tbl>
    <w:p w14:paraId="6211E7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</w:pPr>
    </w:p>
    <w:p w14:paraId="01F287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3. 血红蛋白（Hb）—— 贫血与脏器耐受核心指标</w:t>
      </w:r>
    </w:p>
    <w:p w14:paraId="543E5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  <w:r>
        <w:rPr>
          <w:rStyle w:val="5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关键规则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：老年 / 合并心脑血管病患者，轻度贫血即可加重脏器负担，需早期干预；持续贫血会降低化疗 / 免疫治疗疗效。</w:t>
      </w:r>
    </w:p>
    <w:p w14:paraId="09F68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p w14:paraId="66553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p w14:paraId="33420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p w14:paraId="5E768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p w14:paraId="1D6B6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p w14:paraId="0A598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tbl>
      <w:tblPr>
        <w:tblW w:w="95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1897"/>
        <w:gridCol w:w="6806"/>
      </w:tblGrid>
      <w:tr w14:paraId="34596F70">
        <w:trPr>
          <w:trHeight w:val="547" w:hRule="atLeast"/>
          <w:tblHeader/>
        </w:trPr>
        <w:tc>
          <w:tcPr>
            <w:tcW w:w="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8DE1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分级</w:t>
            </w:r>
          </w:p>
        </w:tc>
        <w:tc>
          <w:tcPr>
            <w:tcW w:w="18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E4D5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数值范围（g/L，成人通用）</w:t>
            </w:r>
          </w:p>
        </w:tc>
        <w:tc>
          <w:tcPr>
            <w:tcW w:w="680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E268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核心处理原则</w:t>
            </w:r>
          </w:p>
        </w:tc>
      </w:tr>
      <w:tr w14:paraId="25BC2E9D">
        <w:trPr>
          <w:trHeight w:val="809" w:hRule="atLeast"/>
        </w:trPr>
        <w:tc>
          <w:tcPr>
            <w:tcW w:w="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B50D1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18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BE8A3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男性：120–160女性：110–150</w:t>
            </w:r>
          </w:p>
        </w:tc>
        <w:tc>
          <w:tcPr>
            <w:tcW w:w="680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A70CB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无需干预，常规监测</w:t>
            </w:r>
          </w:p>
        </w:tc>
      </w:tr>
      <w:tr w14:paraId="27E69970">
        <w:trPr>
          <w:trHeight w:val="809" w:hRule="atLeast"/>
        </w:trPr>
        <w:tc>
          <w:tcPr>
            <w:tcW w:w="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D5D6A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Ⅰ 度贫血</w:t>
            </w:r>
          </w:p>
        </w:tc>
        <w:tc>
          <w:tcPr>
            <w:tcW w:w="18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282DC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男性：100–120女性：90–110</w:t>
            </w:r>
          </w:p>
        </w:tc>
        <w:tc>
          <w:tcPr>
            <w:tcW w:w="680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9A706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加强营养，补充铁剂 + 叶酸 + 维生素 B12，每周复查</w:t>
            </w:r>
          </w:p>
        </w:tc>
      </w:tr>
      <w:tr w14:paraId="7901F70D">
        <w:trPr>
          <w:trHeight w:val="547" w:hRule="atLeast"/>
        </w:trPr>
        <w:tc>
          <w:tcPr>
            <w:tcW w:w="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E0779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Ⅱ 度贫血</w:t>
            </w:r>
          </w:p>
        </w:tc>
        <w:tc>
          <w:tcPr>
            <w:tcW w:w="18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31FE3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80–100</w:t>
            </w:r>
          </w:p>
        </w:tc>
        <w:tc>
          <w:tcPr>
            <w:tcW w:w="680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30205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评估促红细胞生成素（EPO）治疗，排查出血 / 营养缺乏</w:t>
            </w:r>
          </w:p>
        </w:tc>
      </w:tr>
      <w:tr w14:paraId="01DD583F">
        <w:trPr>
          <w:trHeight w:val="809" w:hRule="atLeast"/>
        </w:trPr>
        <w:tc>
          <w:tcPr>
            <w:tcW w:w="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A44F2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Ⅲ 度贫血</w:t>
            </w:r>
          </w:p>
        </w:tc>
        <w:tc>
          <w:tcPr>
            <w:tcW w:w="18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391EC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60–80</w:t>
            </w:r>
          </w:p>
        </w:tc>
        <w:tc>
          <w:tcPr>
            <w:tcW w:w="680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A01D3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出现头晕 / 心慌 / 气短时，就医评估输血治疗</w:t>
            </w:r>
          </w:p>
        </w:tc>
      </w:tr>
      <w:tr w14:paraId="030F295D">
        <w:trPr>
          <w:trHeight w:val="826" w:hRule="atLeast"/>
        </w:trPr>
        <w:tc>
          <w:tcPr>
            <w:tcW w:w="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2D794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Ⅳ 度贫血</w:t>
            </w:r>
          </w:p>
        </w:tc>
        <w:tc>
          <w:tcPr>
            <w:tcW w:w="18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3C3D0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&lt;60</w:t>
            </w:r>
          </w:p>
        </w:tc>
        <w:tc>
          <w:tcPr>
            <w:tcW w:w="680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2E987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急诊输血，纠正贫血，排查溶血 / 大出血</w:t>
            </w:r>
          </w:p>
        </w:tc>
      </w:tr>
    </w:tbl>
    <w:p w14:paraId="6E7DF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</w:pPr>
    </w:p>
    <w:p w14:paraId="589513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4. 白细胞总数（WBC）—— 辅助判断指标</w:t>
      </w:r>
    </w:p>
    <w:p w14:paraId="73D086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5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关键规则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：白细胞升高≠感染，可能为升白针后反应或免疫治疗激活；需结合中性粒细胞绝对值、炎症指标（CRP/PCT）及临床症状综合判断。</w:t>
      </w:r>
    </w:p>
    <w:p w14:paraId="23C0A020"/>
    <w:p w14:paraId="13AD86E9">
      <w:pPr>
        <w:pStyle w:val="6"/>
        <w:keepNext w:val="0"/>
        <w:keepLines w:val="0"/>
        <w:widowControl/>
        <w:suppressLineNumbers w:val="0"/>
        <w:rPr>
          <w:color w:val="auto"/>
        </w:rPr>
      </w:pPr>
      <w:r>
        <w:rPr>
          <w:rStyle w:val="8"/>
          <w:color w:val="auto"/>
        </w:rPr>
        <w:t>正常参考：</w:t>
      </w:r>
      <w:r>
        <w:rPr>
          <w:color w:val="auto"/>
        </w:rPr>
        <w:t>4.0–10.0 ×10⁹/L</w:t>
      </w:r>
    </w:p>
    <w:p w14:paraId="548B9C1A">
      <w:pPr>
        <w:pStyle w:val="7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核心作用：仅作为初步筛查，感染风险判断必须依赖中性粒细胞绝对值</w:t>
      </w:r>
      <w:bookmarkStart w:id="0" w:name="_GoBack"/>
      <w:bookmarkEnd w:id="0"/>
    </w:p>
    <w:p w14:paraId="3760CA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F8EBD"/>
    <w:rsid w:val="33CF8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p1"/>
    <w:basedOn w:val="1"/>
    <w:uiPriority w:val="0"/>
    <w:pPr>
      <w:spacing w:before="0" w:beforeAutospacing="0" w:after="0" w:afterAutospacing="0" w:line="640" w:lineRule="atLeast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28"/>
      <w:szCs w:val="28"/>
      <w:lang w:val="en-US" w:eastAsia="zh-CN" w:bidi="ar"/>
    </w:rPr>
  </w:style>
  <w:style w:type="paragraph" w:customStyle="1" w:styleId="7">
    <w:name w:val="p2"/>
    <w:basedOn w:val="1"/>
    <w:uiPriority w:val="0"/>
    <w:pPr>
      <w:spacing w:before="0" w:beforeAutospacing="0" w:after="0" w:afterAutospacing="0" w:line="640" w:lineRule="atLeast"/>
      <w:ind w:left="0" w:right="0"/>
      <w:jc w:val="left"/>
    </w:pPr>
    <w:rPr>
      <w:rFonts w:ascii="pingfang sc" w:hAnsi="pingfang sc" w:eastAsia="pingfang sc" w:cs="pingfang sc"/>
      <w:color w:val="FFFFFF"/>
      <w:kern w:val="0"/>
      <w:sz w:val="28"/>
      <w:szCs w:val="28"/>
      <w:lang w:val="en-US" w:eastAsia="zh-CN" w:bidi="ar"/>
    </w:rPr>
  </w:style>
  <w:style w:type="character" w:customStyle="1" w:styleId="8">
    <w:name w:val="s1"/>
    <w:basedOn w:val="4"/>
    <w:uiPriority w:val="0"/>
    <w:rPr>
      <w:rFonts w:hint="eastAsia" w:ascii="pingfang sc" w:hAnsi="pingfang sc" w:eastAsia="pingfang sc" w:cs="pingfang sc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2026-03-25T23:01:00Z</dcterms:created>
  <dc:creator>WPS_1643450934</dc:creator>
  <cp:lastModifiedBy>WPS_1643450934</cp:lastModifiedBy>
  <dcterms:modified xsi:type="dcterms:W3CDTF">2026-03-25T23:08:35Z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01DCFC7EA9F8C5F8C0F8C3695321C2A7_41</vt:lpwstr>
  </property>
</Properties>
</file>