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FA0A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TRAE（字节 AI IDE）全栈开发详细步骤提示词</w:t>
      </w:r>
    </w:p>
    <w:p w14:paraId="4934DC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项目背景与目标</w:t>
      </w:r>
    </w:p>
    <w:p w14:paraId="4DFF5B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  <w:t>请基于以下需求，在 TRAE 中完成 ** 肿瘤患者血常规监测工具（内部测试版）** 的全栈开发，最终一键生成微信小程序代码包并发布体验版。</w:t>
      </w:r>
    </w:p>
    <w:p w14:paraId="632B4B5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核心功能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：登录 / 注册、患者档案管理、血常规报告上传 / OCR 识别、异常解读、指标趋势图、骨髓抑制分级速查、监测提醒设置</w:t>
      </w:r>
    </w:p>
    <w:p w14:paraId="6BB1475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技术对接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：集成阿里云 OCR API 实现血常规报告识别</w:t>
      </w:r>
    </w:p>
    <w:p w14:paraId="7B9F70B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扩展性要求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：预留 PC 端扩展能力，数据结构与 PRD V1.2 完全一致</w:t>
      </w:r>
    </w:p>
    <w:p w14:paraId="4A6647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使用范围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：内部小范围测试，不对外公线上线</w:t>
      </w:r>
    </w:p>
    <w:p w14:paraId="26F56352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  <w:pict>
          <v:rect id="_x0000_i1025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93380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开发阶段与详细步骤</w:t>
      </w:r>
    </w:p>
    <w:p w14:paraId="720C6A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第一阶段：项目初始化与框架搭建（1 天内完成）</w:t>
      </w:r>
    </w:p>
    <w:p w14:paraId="7A2372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任务 1：创建项目并选择模板</w:t>
      </w:r>
    </w:p>
    <w:p w14:paraId="3AF8764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打开 TRAE，点击「新建项目」，选择 **「微信小程序」</w:t>
      </w: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作为目标平台，同时勾选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「支持 H5/PC 自适应」**（预留跨端扩展）</w:t>
      </w:r>
    </w:p>
    <w:p w14:paraId="3DD3C8B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在模板中心搜索「健康工具」「数据监测」，选择一个最接近的模板（如「健康数据记录助手」）作为基础，点击「使用模板」创建项目</w:t>
      </w:r>
    </w:p>
    <w:p w14:paraId="0C86D31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将项目命名为「愈见・血常规监测助手」，填写项目描述：「肿瘤患者化疗 / 免疫后血常规监测工具，内部测试使用」</w:t>
      </w:r>
    </w:p>
    <w:p w14:paraId="65E27F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任务 2：让 AI 生成项目基础框架</w:t>
      </w:r>
    </w:p>
    <w:p w14:paraId="6041577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打开 TRAE 的 AI 助手，输入以下提示词：</w:t>
      </w:r>
    </w:p>
    <w:p w14:paraId="09D3C5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720" w:firstLine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  <w:t>请帮我生成「肿瘤患者血常规监测工具」的项目基础框架，包括：</w:t>
      </w:r>
    </w:p>
    <w:p w14:paraId="3C39294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</w:p>
    <w:p w14:paraId="5757205D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720" w:right="72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前端页面路由结构（8 个核心页面：登录 / 注册、患者档案、病历夹列表、报告上传 / 识别、报告详情、指标趋势图、分级速查、提醒设置）</w:t>
      </w:r>
    </w:p>
    <w:p w14:paraId="1772C965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720" w:right="72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后端服务目录结构（API 路由、业务逻辑、数据模型、中间件）</w:t>
      </w:r>
    </w:p>
    <w:p w14:paraId="3865EED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720" w:right="72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统一的 API 返回格式（JSON，包含 code、message、data、timestamp）</w:t>
      </w:r>
    </w:p>
    <w:p w14:paraId="528D943D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720" w:right="72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全局组件（免责声明组件、顶部导航栏、底部操作栏）请直接生成可运行的代码框架，并说明每个文件的作用。</w:t>
      </w:r>
    </w:p>
    <w:p w14:paraId="707C941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AI 生成后，检查框架是否完整，将全局免责声明组件添加到所有需要的页面（登录页、报告详情页、分级速查页）。</w:t>
      </w:r>
    </w:p>
    <w:p w14:paraId="47E9868D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  <w:pict>
          <v:rect id="_x0000_i1026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59EF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第二阶段：数据模型设计（1 天内完成）</w:t>
      </w:r>
    </w:p>
    <w:p w14:paraId="69F9D8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任务 1：创建核心数据表</w:t>
      </w:r>
    </w:p>
    <w:p w14:paraId="69468E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  <w:t>在 TRAE 的「数据库设计」模块中，严格按照以下结构创建 6 张核心数据表，预留所有扩展字段：</w:t>
      </w:r>
    </w:p>
    <w:tbl>
      <w:tblPr>
        <w:tblW w:w="923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7"/>
        <w:gridCol w:w="989"/>
        <w:gridCol w:w="2553"/>
        <w:gridCol w:w="2714"/>
        <w:gridCol w:w="1143"/>
        <w:gridCol w:w="1031"/>
      </w:tblGrid>
      <w:tr w14:paraId="7007AD60">
        <w:trPr>
          <w:trHeight w:val="606" w:hRule="atLeast"/>
          <w:tblHeader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C128A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表名</w:t>
            </w: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F0EE8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字段名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2D07B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字段类型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B026CB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说明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4105F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索引</w:t>
            </w: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C7A6DE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</w:p>
        </w:tc>
      </w:tr>
      <w:tr w14:paraId="3714F1EF">
        <w:trPr>
          <w:trHeight w:val="895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88F47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Style w:val="8"/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user（用户表）</w:t>
            </w: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DBFE4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B93B2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2CC00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用户唯一标识（UUID）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6A01B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3CAF5F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</w:p>
        </w:tc>
      </w:tr>
      <w:tr w14:paraId="066A4BEF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222E0D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23446A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088229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VARCHAR(11)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284CC3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手机号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B81CC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唯一索引</w:t>
            </w: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8BBED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</w:p>
        </w:tc>
      </w:tr>
      <w:tr w14:paraId="746CAA82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E0C651C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94DF29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21CFA5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D9FDD5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加密密码（BCrypt）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4D8B92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DF13B4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06F07441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185530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84A858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nickname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249D9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1FFA4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昵称（预留）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8AE9CB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AA275D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75F36860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B75B13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1800F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avatar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54225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E2CD3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头像（预留）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4308132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D91335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2E53167D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DD5D62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557DEF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wechat_openid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080543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93546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微信 OpenID（预留）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E1F694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AEDC1D7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7E992930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F6A9BD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234E0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C8E571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724C9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FC3F2E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8A185A5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005B52C3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BA3FAE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CEA875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update_time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BC8ACA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FABA49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5BC7D0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47C0D3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39C1DBBB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A7A6CA9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A49D8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542D2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F61DC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软删除标记（0/1）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D01D52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3C3752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27A680C0">
        <w:trPr>
          <w:trHeight w:val="895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5F2B1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Style w:val="8"/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patient（患者表）</w:t>
            </w: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62062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patient_id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199C98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DADB23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患者唯一标识（UUID）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DAAE0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10B72B0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</w:p>
        </w:tc>
      </w:tr>
      <w:tr w14:paraId="71002AE1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03BCA7B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2C84C6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user_id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AEA528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53641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关联用户 ID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5AAC1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外键</w:t>
            </w: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9D45492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</w:p>
        </w:tc>
      </w:tr>
      <w:tr w14:paraId="5B85147B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E94A91E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4B39E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6F288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092891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患者姓名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72E7FB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8A022C2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0C1CFF82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57E5608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6D690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gender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2BCF0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VARCHAR(10)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4C33F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性别（预留）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4559B8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DF1DD4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03F0B1B6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80F41F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85D69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birthday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60C70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638F4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出生年月（预留）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E8A7EB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DEDCBC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4AF78BC7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17C862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C40CD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tumor_type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57E9B3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D069A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肿瘤类型（预留）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AE3EA5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F760CDF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7D6B7A9B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B4BA508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E6C547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treatment_plan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F63C5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0395B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治疗方案（预留）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69E111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C71442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1658483D">
        <w:trPr>
          <w:trHeight w:val="895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938B18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F7415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chemotherapy_cycles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2A1369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1A339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当前化疗周期数（新增）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93F576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B56406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1BC2B718">
        <w:trPr>
          <w:trHeight w:val="895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42A9B4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9F018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last_chemo_end_date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B8BA7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B45093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当次化疗结束时间（新增）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15FEFE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9321D7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4BA9D4F7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F2005A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A8785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0B5E9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440FE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DD1C497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393F077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4CEBFAE3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C52DD8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6E98E9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update_time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748B37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6B7921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883313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4914C7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44733549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57A797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71FB1E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1E5EA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336534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软删除标记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39AFE7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7876FB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705F65E2">
        <w:trPr>
          <w:trHeight w:val="895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92D70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Style w:val="8"/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report（报告表）</w:t>
            </w: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270752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report_id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13662E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40BD4D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报告唯一标识（UUID）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E43C6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AC4FC6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</w:p>
        </w:tc>
      </w:tr>
      <w:tr w14:paraId="10B3CC39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4189818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27DBC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patient_id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2FC8C8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7FFBF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关联患者 ID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6CFA2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外键</w:t>
            </w: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65AD9F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</w:p>
        </w:tc>
      </w:tr>
      <w:tr w14:paraId="13C104D0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3C4DC1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B990E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report_type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232E6C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CA4BD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报告类型（固定「血常规」）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566E042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60A381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2CE59FDA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FAA872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6B0478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test_time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FF7F5B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A7661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检测时间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DEFB9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索引</w:t>
            </w: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EA1D64D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</w:p>
        </w:tc>
      </w:tr>
      <w:tr w14:paraId="7AF172BE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DEE95C9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64D9B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test_hospital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5FC28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6B6364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检测医院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329E63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DFD9974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0EE41D8D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433722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D206F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raw_image_url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61A29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C2D9B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原始图片 URL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96B9F76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B1C62D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6A23C222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8A321BE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A930A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is_edited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21E69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CEDA1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是否手动编辑（预留）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9233DBA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2EDB480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709FB7F8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42BD3DA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EAA6E6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source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536779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5FBBB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来源（预留）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0D1E4D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5CB597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2301CA6B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1D97E93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5809C6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E45892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9BAA19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4F72DDB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3A8A6D0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5414AD38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1BF0AC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F19884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update_time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15A1C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D5707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121233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BB9B14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42BA944C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E369FC9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4214AC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9ED58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6103A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软删除标记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86A3CF8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B01C98B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03D5BD35">
        <w:trPr>
          <w:trHeight w:val="895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74FD8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Style w:val="8"/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indicator（指标表）</w:t>
            </w: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E516B9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indicator_id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D19B6C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193D66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指标唯一标识（UUID）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4B871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CB174B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</w:p>
        </w:tc>
      </w:tr>
      <w:tr w14:paraId="589A82C5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850EA7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671CF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report_id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11999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4E4CB9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关联报告 ID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809122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外键</w:t>
            </w: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2BEEB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</w:p>
        </w:tc>
      </w:tr>
      <w:tr w14:paraId="780190E9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7C33D6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4DA954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indicator_code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4FDA6E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C3D1E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指标编码（如 WBC）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6BB5C0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索引</w:t>
            </w: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4E3D01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</w:p>
        </w:tc>
      </w:tr>
      <w:tr w14:paraId="2D3EA0E0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F6862E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D311F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indicator_name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F301A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74D62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5FD1B40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120A39E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6A677A89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48B9D09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9EC284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test_value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AA0E73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4FC016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检测值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E2F05C0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901371D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4FDEFB2A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9EBE97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3F0A9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reference_min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31069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B39C4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参考值下限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6081D44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6F725F9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2B48F9AF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CE7E709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397A0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reference_max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170569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DECIMAL(10,2)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286D7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参考值上限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8387E36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61D366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7EA20D9C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96865CB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0EC2BC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unit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89516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D2F23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单位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A6C66B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E2E012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787694F3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671E3A3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891D68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is_abnormal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259C60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6B364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是否异常（0/1）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A045C7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130D213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26EC7B72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56ACDA0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9F0423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abnormal_level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F085A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VARCHAR(10)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9BDA9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异常等级（Ⅰ/Ⅱ/Ⅲ/Ⅳ）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A03CA7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D3B441C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10003136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54A679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D745A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trend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8720F8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CFCA3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趋势标记（预留）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6B18C19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A058430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005560D4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878994A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35298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remark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8CC81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287C5B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备注（预留）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E505A3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418F67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5047E395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96D756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352025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90EC17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478A2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068980A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AED6D2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7FAA5E1E">
        <w:trPr>
          <w:trHeight w:val="1185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DC151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Style w:val="8"/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reminder（提醒设置表）</w:t>
            </w: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03F07A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reminder_id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619BAD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E9BE46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提醒唯一标识（UUID）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2B51AE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EE81919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</w:p>
        </w:tc>
      </w:tr>
      <w:tr w14:paraId="069F32C6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834048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C77F15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patient_id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7D28B2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F429B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关联患者 ID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E3668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外键</w:t>
            </w: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3DD91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</w:p>
        </w:tc>
      </w:tr>
      <w:tr w14:paraId="35F6D12F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E3D101E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19116C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reminder_date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310BB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DATE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09C66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提醒日期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12EF728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C1F2AB1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052C2A0B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CD116CA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0791E0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reminder_time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BEAA1C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TIME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A8CE7D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提醒时间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741A90E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CBD136F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03CE36F4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64613BA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CA9F2D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is_enabled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771D19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29032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是否开启（0/1）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BC36E11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A1E6CC0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26A311EB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2C4D2F4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D76AF8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3FBFD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668B57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065E959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E78CF25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0C98DAD9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7D255B2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A937B6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update_time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75505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4E8BDC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更新时间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9A0C3C9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D4FE4F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156A744A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95FA8BB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96A307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is_deleted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73AF6C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TINYINT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3402C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软删除标记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7EAF105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F9B2ACE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4F5149B5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08B335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Style w:val="8"/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reference（分级速查表）</w:t>
            </w: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E7A7CB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reference_id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A7E980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VARCHAR(64)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EA98D2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速查项唯一标识（UUID）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5CD946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主键</w:t>
            </w: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C5A6E64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</w:p>
        </w:tc>
      </w:tr>
      <w:tr w14:paraId="454CD8D6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DA97B71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CBB0A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indicator_code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9858EC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VARCHAR(20)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C1185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指标编码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AFC48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索引</w:t>
            </w: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6DAB39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</w:pPr>
          </w:p>
        </w:tc>
      </w:tr>
      <w:tr w14:paraId="04DFFE04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8AB31F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7FC48D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indicator_name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4C8F41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9E7B05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指标名称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C4B22E9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3729DC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169EF51A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1BA5D9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0DA848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grade_level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34A6FE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VARCHAR(10)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87750B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分级（Ⅰ/Ⅱ/Ⅲ/Ⅳ）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70DB5D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B1B59B0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5B99DCC9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BE7123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A7FE3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grade_range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96FA16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VARCHAR(100)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F9DE60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指标范围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8538C67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2ABA764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0491832F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17F9E17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0F6BF8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suggestion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EEDA4B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4531C0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处理建议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ABBBAA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4BABA29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0B9F8BFE">
        <w:trPr>
          <w:trHeight w:val="606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2B4DCA4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A0921E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note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8EBFEA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TEXT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06725A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补充说明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BAB4A37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EEEAE94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  <w:tr w14:paraId="56FF27AC">
        <w:trPr>
          <w:trHeight w:val="624" w:hRule="atLeast"/>
        </w:trPr>
        <w:tc>
          <w:tcPr>
            <w:tcW w:w="807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B6D3039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989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017236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create_time</w:t>
            </w:r>
          </w:p>
        </w:tc>
        <w:tc>
          <w:tcPr>
            <w:tcW w:w="255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5A178A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DATETIME</w:t>
            </w:r>
          </w:p>
        </w:tc>
        <w:tc>
          <w:tcPr>
            <w:tcW w:w="2714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DCC2C9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  <w:u w:val="none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创建时间</w:t>
            </w:r>
          </w:p>
        </w:tc>
        <w:tc>
          <w:tcPr>
            <w:tcW w:w="114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3B39770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  <w:tc>
          <w:tcPr>
            <w:tcW w:w="103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FB12453">
            <w:pPr>
              <w:jc w:val="left"/>
              <w:rPr>
                <w:rFonts w:hint="eastAsia" w:ascii="宋体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u w:val="none"/>
              </w:rPr>
            </w:pPr>
          </w:p>
        </w:tc>
      </w:tr>
    </w:tbl>
    <w:p w14:paraId="6C13801B"/>
    <w:p w14:paraId="12B3221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任务 2：初始化分级速查表数据</w:t>
      </w:r>
    </w:p>
    <w:p w14:paraId="1A8D23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  <w:t>让 AI 生成 WHO 骨髓抑制分级标准的 SQL 语句，插入到</w:t>
      </w:r>
      <w:r>
        <w:rPr>
          <w:rStyle w:val="9"/>
          <w:rFonts w:ascii="Menlo" w:hAnsi="Menlo" w:eastAsia="Menlo" w:cs="Menlo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  <w:t>reference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u w:val="none"/>
          <w:bdr w:val="none" w:color="auto" w:sz="0" w:space="0"/>
          <w:lang w:val="en-US" w:eastAsia="zh-CN" w:bidi="ar"/>
        </w:rPr>
        <w:t>表中，作为速查功能的初始数据。</w:t>
      </w:r>
    </w:p>
    <w:p w14:paraId="7F70BA1C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  <w:pict>
          <v:rect id="_x0000_i102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9034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第三阶段：核心功能模块开发（重点，5-7 天完成）</w:t>
      </w:r>
    </w:p>
    <w:p w14:paraId="6EEA3B5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模块 1：登录 / 注册与用户认证（P0）</w:t>
      </w:r>
    </w:p>
    <w:p w14:paraId="4DF8B5A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前端页面开发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4C63D23E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用 TRAE 的「表单组件」搭建登录 / 注册页，包含手机号输入框、密码输入框、登录 / 注册按钮</w:t>
      </w:r>
    </w:p>
    <w:p w14:paraId="0D430C36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添加手机号格式校验（正则表达式：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/^1[3-9]\d{9}$/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）、密码长度校验（≥6 位）</w:t>
      </w:r>
    </w:p>
    <w:p w14:paraId="53826F36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固定展示免责声明组件</w:t>
      </w:r>
    </w:p>
    <w:p w14:paraId="1BCA239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后端逻辑开发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4D63B3D9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实现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POST /api/auth/register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接口：接收手机号和密码，BCrypt 加密后存入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user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表，返回 token</w:t>
      </w:r>
    </w:p>
    <w:p w14:paraId="26F4C3F3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实现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POST /api/auth/login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接口：验证手机号和密码，生成 JWT token 返回</w:t>
      </w:r>
    </w:p>
    <w:p w14:paraId="6536F86F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实现 JWT 鉴权中间件：所有需要登录的接口校验 token，未登录返回 401</w:t>
      </w:r>
    </w:p>
    <w:p w14:paraId="52FAB0E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交互逻辑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76F95055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登录 / 注册成功后，将 token 存入本地存储，跳转至患者档案页</w:t>
      </w:r>
    </w:p>
    <w:p w14:paraId="63F58F3F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后续所有 API 请求在请求头中携带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Authorization: Bearer {token}</w:t>
      </w:r>
    </w:p>
    <w:p w14:paraId="19F7503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模块 2：患者档案与提醒设置（P0）</w:t>
      </w:r>
    </w:p>
    <w:p w14:paraId="74C3109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前端页面开发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0B4ADE35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患者档案页：姓名输入框、化疗周期数输入框、化疗结束时间日期选择器，「保存」「保存并设置提醒」按钮</w:t>
      </w:r>
    </w:p>
    <w:p w14:paraId="34FC2ECC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提醒设置页：提醒规则说明卡片、日期选择器列表、时间选择器、「开启提醒」开关、「保存提醒」按钮</w:t>
      </w:r>
    </w:p>
    <w:p w14:paraId="037B9EF4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后端逻辑开发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25A7051D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实现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POST /api/patients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接口：创建 / 更新患者档案</w:t>
      </w:r>
    </w:p>
    <w:p w14:paraId="136CA95A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实现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GET /api/patients/{userId}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接口：获取患者档案</w:t>
      </w:r>
    </w:p>
    <w:p w14:paraId="29631D7E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实现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POST /api/reminders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接口：保存提醒设置</w:t>
      </w:r>
    </w:p>
    <w:p w14:paraId="3CD2405A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实现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GET /api/reminders/{patientId}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接口：获取提醒列表</w:t>
      </w:r>
    </w:p>
    <w:p w14:paraId="5D1FB702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交互逻辑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6BA78AA0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点击「保存并设置提醒」跳转至提醒设置页</w:t>
      </w:r>
    </w:p>
    <w:p w14:paraId="2351D9C3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提醒设置保存后，跳转至病历夹列表页</w:t>
      </w:r>
    </w:p>
    <w:p w14:paraId="00D25F3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模块 3：病历夹列表与报告上传 / OCR 识别（P0，核心）</w:t>
      </w:r>
    </w:p>
    <w:p w14:paraId="7826781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前端页面开发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331C8798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病历夹列表页：快捷入口栏（「分级速查」「提醒设置」按钮）、患者信息卡片、报告列表（数据列表组件）、右上角「+」按钮</w:t>
      </w:r>
    </w:p>
    <w:p w14:paraId="1306CD2D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报告上传页：图片上传组件（支持相机 / 相册）、识别结果预览区（表单组件，支持编辑）、「重新上传」「确认归档」按钮</w:t>
      </w:r>
    </w:p>
    <w:p w14:paraId="5FD93D24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后端逻辑开发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5133B7CE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集成阿里云 OCR API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7A1E2A33">
      <w:pPr>
        <w:keepNext w:val="0"/>
        <w:keepLines w:val="0"/>
        <w:widowControl/>
        <w:numPr>
          <w:ilvl w:val="2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在 TRAE 的「API 集成」模块中添加阿里云 OCR（「通用文字识别（高级版）」或「医疗检验报告识别」）</w:t>
      </w:r>
    </w:p>
    <w:p w14:paraId="2524A726">
      <w:pPr>
        <w:keepNext w:val="0"/>
        <w:keepLines w:val="0"/>
        <w:widowControl/>
        <w:numPr>
          <w:ilvl w:val="2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配置 AccessKey ID 和 AccessKey Secret（从阿里云控制台获取）</w:t>
      </w:r>
    </w:p>
    <w:p w14:paraId="520764C7">
      <w:pPr>
        <w:keepNext w:val="0"/>
        <w:keepLines w:val="0"/>
        <w:widowControl/>
        <w:numPr>
          <w:ilvl w:val="2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实现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POST /api/ocr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接口：接收图片文件，调用阿里云 OCR，解析返回的 JSON，提取血常规指标（重点匹配 6 项核心指标：WBC、NEUT#、NEUT%、RBC、HGB、PLT），返回结构化数据</w:t>
      </w:r>
    </w:p>
    <w:p w14:paraId="0F75EAC1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实现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POST /api/reports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接口：保存报告数据到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report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表，指标数据保存到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indicator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表</w:t>
      </w:r>
    </w:p>
    <w:p w14:paraId="4868233B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实现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GET /api/reports/{patientId}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接口：获取报告列表（按检测时间倒序）</w:t>
      </w:r>
    </w:p>
    <w:p w14:paraId="2B889BDE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交互逻辑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3C0AC6B0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上传图片后，调用 OCR 接口，将识别结果填充到表单，用户可编辑</w:t>
      </w:r>
    </w:p>
    <w:p w14:paraId="674D0583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点击「确认归档」保存报告，跳转至报告详情页</w:t>
      </w:r>
    </w:p>
    <w:p w14:paraId="4CEC9FB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模块 4：报告详情与异常解读（P0，核心）</w:t>
      </w:r>
    </w:p>
    <w:p w14:paraId="19BFA16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前端页面开发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25B233FE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报告详情页：报告基础信息卡片、异常指标分级预警卡片（标签组件展示等级）、肿瘤场景专属解读卡片、完整指标列表（折叠面板）、「查看趋势图」悬浮按钮</w:t>
      </w:r>
    </w:p>
    <w:p w14:paraId="4E027DFF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每个异常指标旁添加「查看处理建议」链接</w:t>
      </w:r>
    </w:p>
    <w:p w14:paraId="15512241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后端逻辑开发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1FD059B3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实现 WHO 骨髓抑制分级规则：根据指标检测值和参考值，计算异常等级（Ⅰ/Ⅱ/Ⅲ/Ⅳ）</w:t>
      </w:r>
    </w:p>
    <w:p w14:paraId="1DAB8397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实现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GET /api/reports/{id}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接口：获取报告详情和指标数据</w:t>
      </w:r>
    </w:p>
    <w:p w14:paraId="0D84240B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实现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GET /api/interpretations/{id}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接口：根据异常等级，从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reference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表匹配解读内容，返回基础解读和居家建议</w:t>
      </w:r>
    </w:p>
    <w:p w14:paraId="1E4ED3AB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交互逻辑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75002706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点击「查看处理建议」跳转至分级速查页并自动定位到对应指标</w:t>
      </w:r>
    </w:p>
    <w:p w14:paraId="285F02FD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点击「查看趋势图」跳转至趋势图页</w:t>
      </w:r>
    </w:p>
    <w:p w14:paraId="0FAFA59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模块 5：指标趋势图（P0，核心）</w:t>
      </w:r>
    </w:p>
    <w:p w14:paraId="16779A3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前端页面开发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3E1F4BA8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趋势图页：指标切换栏（标签页组件）、ECharts 折线图组件</w:t>
      </w:r>
    </w:p>
    <w:p w14:paraId="2DF16607">
      <w:pPr>
        <w:keepNext w:val="0"/>
        <w:keepLines w:val="0"/>
        <w:widowControl/>
        <w:numPr>
          <w:ilvl w:val="1"/>
          <w:numId w:val="2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折线图配置：横轴为检测时间，纵轴为指标数值，标注参考值上下限（灰色区间），异常点用橙色 / 红色标记</w:t>
      </w:r>
    </w:p>
    <w:p w14:paraId="348A47D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后端逻辑开发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270A6D42">
      <w:pPr>
        <w:keepNext w:val="0"/>
        <w:keepLines w:val="0"/>
        <w:widowControl/>
        <w:numPr>
          <w:ilvl w:val="1"/>
          <w:numId w:val="2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实现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GET /api/trends/{patientId}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接口：查询患者的所有报告，提取 6 项核心指标的时间序列数据，返回标准化 JSON（包含时间、数值、是否异常）</w:t>
      </w:r>
    </w:p>
    <w:p w14:paraId="29D3FA0C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交互逻辑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2FEC3DC6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点击指标标签切换对应趋势图</w:t>
      </w:r>
    </w:p>
    <w:p w14:paraId="0A20FE82">
      <w:pPr>
        <w:keepNext w:val="0"/>
        <w:keepLines w:val="0"/>
        <w:widowControl/>
        <w:numPr>
          <w:ilvl w:val="1"/>
          <w:numId w:val="2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点击折线点弹窗展示对应报告信息</w:t>
      </w:r>
    </w:p>
    <w:p w14:paraId="724B4E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模块 6：骨髓抑制分级速查（P1）</w:t>
      </w:r>
    </w:p>
    <w:p w14:paraId="429A8A55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前端页面开发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4F486FDD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速查页：快速导航栏（6 项核心指标标签）、折叠面板列表（每个指标一个面板，包含分级表格和补充说明）</w:t>
      </w:r>
    </w:p>
    <w:p w14:paraId="59249378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后端逻辑开发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22D0801D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实现</w:t>
      </w:r>
      <w:r>
        <w:rPr>
          <w:rStyle w:val="9"/>
          <w:rFonts w:hint="default" w:ascii="Menlo" w:hAnsi="Menlo" w:eastAsia="Menlo" w:cs="Menlo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GET /api/references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接口：返回所有分级速查数据</w:t>
      </w:r>
    </w:p>
    <w:p w14:paraId="5D6F47AE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交互逻辑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226ADFAC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点击导航栏标签自动滚动到对应面板</w:t>
      </w:r>
    </w:p>
    <w:p w14:paraId="4B9641CA">
      <w:pPr>
        <w:keepNext w:val="0"/>
        <w:keepLines w:val="0"/>
        <w:widowControl/>
        <w:numPr>
          <w:ilvl w:val="1"/>
          <w:numId w:val="2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若从报告详情页跳转而来，自动展开对应指标面板并高亮</w:t>
      </w:r>
    </w:p>
    <w:p w14:paraId="156A7F74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  <w:pict>
          <v:rect id="_x0000_i102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FCA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第四阶段：测试与调试（2-3 天完成）</w:t>
      </w:r>
    </w:p>
    <w:p w14:paraId="09241F3A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单元测试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0BE17BFC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逐个测试后端 API，确保所有接口能正常返回数据，无报错</w:t>
      </w:r>
    </w:p>
    <w:p w14:paraId="682EE28E">
      <w:pPr>
        <w:keepNext w:val="0"/>
        <w:keepLines w:val="0"/>
        <w:widowControl/>
        <w:numPr>
          <w:ilvl w:val="1"/>
          <w:numId w:val="3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测试 OCR 识别准确率：用 5-10 份不同医院的血常规报告测试，确保 6 项核心指标识别准确率≥95%</w:t>
      </w:r>
    </w:p>
    <w:p w14:paraId="10E16C99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前端联调测试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2CED8493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在 TRAE 的预览模式中测试所有页面，确保交互流畅、数据正常展示</w:t>
      </w:r>
    </w:p>
    <w:p w14:paraId="0A667C68">
      <w:pPr>
        <w:keepNext w:val="0"/>
        <w:keepLines w:val="0"/>
        <w:widowControl/>
        <w:numPr>
          <w:ilvl w:val="1"/>
          <w:numId w:val="3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测试核心流程：登录→创建档案→上传报告→识别→归档→查看解读→查看趋势图</w:t>
      </w:r>
    </w:p>
    <w:p w14:paraId="4F8AA090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微信小程序真机测试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11E6337B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在 TRAE 中点击「预览小程序」，用微信扫码在真机上测试</w:t>
      </w:r>
    </w:p>
    <w:p w14:paraId="15773DAE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重点测试图片上传、相机调用、趋势图渲染、本地存储功能</w:t>
      </w:r>
    </w:p>
    <w:p w14:paraId="6C8DADED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  <w:pict>
          <v:rect id="_x0000_i102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A7D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第五阶段：微信小程序构建与发布（1-2 天完成）</w:t>
      </w:r>
    </w:p>
    <w:p w14:paraId="44874531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构建小程序代码包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0A74D347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在 TRAE 中点击「发布 - 构建微信小程序」</w:t>
      </w:r>
    </w:p>
    <w:p w14:paraId="4814FE99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填入微信小程序 AppID（从微信公众平台获取）</w:t>
      </w:r>
    </w:p>
    <w:p w14:paraId="40148F9F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点击「开始构建」，构建完成后下载代码包</w:t>
      </w:r>
    </w:p>
    <w:p w14:paraId="041A468F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上传到微信公众平台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20DF77FA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下载并打开微信开发者工具</w:t>
      </w:r>
    </w:p>
    <w:p w14:paraId="76586746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导入 TRAE 生成的代码包，填入 AppID</w:t>
      </w:r>
    </w:p>
    <w:p w14:paraId="3EE989CF">
      <w:pPr>
        <w:keepNext w:val="0"/>
        <w:keepLines w:val="0"/>
        <w:widowControl/>
        <w:numPr>
          <w:ilvl w:val="1"/>
          <w:numId w:val="3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在开发者工具中测试无误后，点击「上传」，填写版本号和备注</w:t>
      </w:r>
    </w:p>
    <w:p w14:paraId="14CFDA48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发布体验版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49546D48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登录微信公众平台，进入「版本管理」</w:t>
      </w:r>
    </w:p>
    <w:p w14:paraId="4162417B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找到刚上传的开发版本，点击「提交审核」（审核说明标注「内部小范围测试使用」）</w:t>
      </w:r>
    </w:p>
    <w:p w14:paraId="02CD8254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审核通过后，点击「发布为体验版」</w:t>
      </w:r>
    </w:p>
    <w:p w14:paraId="35BDB7B8">
      <w:pPr>
        <w:keepNext w:val="0"/>
        <w:keepLines w:val="0"/>
        <w:widowControl/>
        <w:numPr>
          <w:ilvl w:val="1"/>
          <w:numId w:val="3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进入「成员管理 - 体验成员」，添加内部测试用户的微信号，用户即可扫码使用</w:t>
      </w:r>
    </w:p>
    <w:p w14:paraId="5B8A7097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  <w:pict>
          <v:rect id="_x0000_i103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7B2F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关键注意事项</w:t>
      </w:r>
    </w:p>
    <w:p w14:paraId="06087ED4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充分利用 TRAE 的 AI 能力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0D6BF299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遇到任何问题（如代码报错、组件配置、API 集成），直接问 TRAE 的 AI，让它生成解决方案或代码</w:t>
      </w:r>
    </w:p>
    <w:p w14:paraId="398A4202">
      <w:pPr>
        <w:keepNext w:val="0"/>
        <w:keepLines w:val="0"/>
        <w:widowControl/>
        <w:numPr>
          <w:ilvl w:val="1"/>
          <w:numId w:val="3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可以让 AI 自动生成页面代码、后端逻辑、SQL 语句，大幅提高效率</w:t>
      </w:r>
    </w:p>
    <w:p w14:paraId="67A21A30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合规红线不可碰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6DF8E8B8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所有涉及解读的页面必须固定展示免责声明</w:t>
      </w:r>
    </w:p>
    <w:p w14:paraId="53FB2E39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所有文案避免使用「诊疗」「治疗建议」「处方」等词汇</w:t>
      </w:r>
    </w:p>
    <w:p w14:paraId="777E9B94">
      <w:pPr>
        <w:keepNext w:val="0"/>
        <w:keepLines w:val="0"/>
        <w:widowControl/>
        <w:numPr>
          <w:ilvl w:val="1"/>
          <w:numId w:val="3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小程序类目选「工具 - 健康工具」，不要选医疗类目</w:t>
      </w:r>
    </w:p>
    <w:p w14:paraId="769863E0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扩展性预留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3DA45B01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所有业务逻辑下沉到后端，前端仅负责展示</w:t>
      </w:r>
    </w:p>
    <w:p w14:paraId="529D1619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数据库表结构严格按照预留字段设计</w:t>
      </w:r>
    </w:p>
    <w:p w14:paraId="1C7DA03E">
      <w:pPr>
        <w:keepNext w:val="0"/>
        <w:keepLines w:val="0"/>
        <w:widowControl/>
        <w:numPr>
          <w:ilvl w:val="1"/>
          <w:numId w:val="4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API 接口采用 RESTful 规范，方便后续 PC 端调用</w:t>
      </w:r>
    </w:p>
    <w:p w14:paraId="310FE555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数据安全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</w:t>
      </w:r>
    </w:p>
    <w:p w14:paraId="053E9992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用户密码必须 BCrypt 加密存储</w:t>
      </w:r>
    </w:p>
    <w:p w14:paraId="3C76FA03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所有 API 接口（除登录 / 注册）必须校验 JWT token</w:t>
      </w:r>
    </w:p>
    <w:p w14:paraId="339D482C">
      <w:pPr>
        <w:keepNext w:val="0"/>
        <w:keepLines w:val="0"/>
        <w:widowControl/>
        <w:numPr>
          <w:ilvl w:val="1"/>
          <w:numId w:val="4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图片文件存储在 TRAE 的加密对象存储中</w:t>
      </w:r>
    </w:p>
    <w:p w14:paraId="2F037FE2">
      <w:pPr>
        <w:keepNext w:val="0"/>
        <w:keepLines w:val="0"/>
        <w:widowControl/>
        <w:suppressLineNumbers w:val="0"/>
        <w:pBdr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  <w:pict>
          <v:rect id="_x0000_i103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5F77A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firstLine="0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开发效率提升技巧</w:t>
      </w:r>
    </w:p>
    <w:p w14:paraId="25FE7BC8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先跑通核心流程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：优先实现「登录→上传报告→OCR 识别→展示解读→查看趋势图」的核心闭环，再补充辅助功能</w:t>
      </w:r>
    </w:p>
    <w:p w14:paraId="25685AD7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复用模板组件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：TRAE 模板中心的健康工具模板通常已经包含用户认证、数据列表、图表等功能，直接复用后修改细节</w:t>
      </w:r>
    </w:p>
    <w:p w14:paraId="23DC6566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批量生成代码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：让 AI 一次性生成多个相似页面的代码（如报告详情页、患者档案页），再逐个调整</w:t>
      </w:r>
    </w:p>
    <w:p w14:paraId="33EA6C7C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jc w:val="left"/>
        <w:rPr>
          <w:rFonts w:hint="default" w:ascii="Apple Color Emoji" w:hAnsi="Apple Color Emoji" w:eastAsia="Apple Color Emoji" w:cs="Apple Color Emoji"/>
          <w:i w:val="0"/>
          <w:iCs w:val="0"/>
          <w:color w:val="000000"/>
          <w:sz w:val="32"/>
          <w:szCs w:val="32"/>
        </w:rPr>
      </w:pPr>
      <w:r>
        <w:rPr>
          <w:rStyle w:val="8"/>
          <w:rFonts w:hint="default" w:ascii="Apple Color Emoji" w:hAnsi="Apple Color Emoji" w:eastAsia="Apple Color Emoji" w:cs="Apple Color Emoji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提前准备测试数据</w:t>
      </w:r>
      <w:r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</w:rPr>
        <w:t>：提前收集好血常规报告图片、模拟的患者数据，开发过程中随时测试</w:t>
      </w:r>
    </w:p>
    <w:p w14:paraId="724888C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FE8F55"/>
    <w:multiLevelType w:val="multilevel"/>
    <w:tmpl w:val="8FFE8F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FDED718"/>
    <w:multiLevelType w:val="multilevel"/>
    <w:tmpl w:val="BFDED7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DFFFE765"/>
    <w:multiLevelType w:val="multilevel"/>
    <w:tmpl w:val="DFFFE7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2CD7E96"/>
    <w:multiLevelType w:val="multilevel"/>
    <w:tmpl w:val="F2CD7E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5FB0BC3"/>
    <w:multiLevelType w:val="multilevel"/>
    <w:tmpl w:val="F5FB0B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E7E88AA"/>
    <w:multiLevelType w:val="multilevel"/>
    <w:tmpl w:val="FE7E88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EFF36E1"/>
    <w:multiLevelType w:val="multilevel"/>
    <w:tmpl w:val="FEFF36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FD54E15"/>
    <w:multiLevelType w:val="multilevel"/>
    <w:tmpl w:val="FFD54E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FDE2D73"/>
    <w:multiLevelType w:val="multilevel"/>
    <w:tmpl w:val="FFDE2D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FFFE8195"/>
    <w:multiLevelType w:val="multilevel"/>
    <w:tmpl w:val="FFFE81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1369A7A3"/>
    <w:multiLevelType w:val="multilevel"/>
    <w:tmpl w:val="1369A7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155AA00E"/>
    <w:multiLevelType w:val="multilevel"/>
    <w:tmpl w:val="155AA0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7DFC4040"/>
    <w:multiLevelType w:val="multilevel"/>
    <w:tmpl w:val="7DFC404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</w:num>
  <w:num w:numId="2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"/>
  </w:num>
  <w:num w:numId="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</w:num>
  <w:num w:numId="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6"/>
  </w:num>
  <w:num w:numId="3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7E6030"/>
    <w:rsid w:val="6F7E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2026-03-25T16:02:00Z</dcterms:created>
  <dc:creator>WPS_1643450934</dc:creator>
  <cp:lastModifiedBy>WPS_1643450934</cp:lastModifiedBy>
  <dcterms:modified xsi:type="dcterms:W3CDTF">2026-03-25T16:12:56Z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A6D794184699CB45AC96C369137E9118_41</vt:lpwstr>
  </property>
</Properties>
</file>