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5BAAC">
      <w:pPr>
        <w:pageBreakBefore w:val="0"/>
        <w:numPr>
          <w:ilvl w:val="0"/>
          <w:numId w:val="1"/>
        </w:numPr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</w:rPr>
        <w:t>中性粒细胞 (ANC)</w:t>
      </w:r>
    </w:p>
    <w:p w14:paraId="29CC2DEC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</w:rPr>
        <w:t>临床意义</w:t>
      </w:r>
    </w:p>
    <w:p w14:paraId="439C67BA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hint="eastAsia" w:ascii="宋体" w:hAnsi="宋体" w:eastAsia="宋体" w:cs="宋体"/>
          <w:b/>
          <w:i w:val="0"/>
          <w:spacing w:val="0"/>
          <w:sz w:val="24"/>
        </w:rPr>
        <w:t>中性粒细胞是白细胞中最重要的抗感染成分，占白细胞总数的50%-70%，是抵抗细菌感染的主力军。其数量下降直接关系到感染风险，尤其是&lt;0.5×10⁹/L时，感染风险急剧增加。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644"/>
        <w:gridCol w:w="2043"/>
        <w:gridCol w:w="2043"/>
      </w:tblGrid>
      <w:tr w14:paraId="3988D454">
        <w:trPr>
          <w:tblHeader/>
          <w:tblCellSpacing w:w="15" w:type="dxa"/>
        </w:trPr>
        <w:tc>
          <w:tcPr>
            <w:tcW w:w="629" w:type="dxa"/>
            <w:shd w:val="clear"/>
            <w:vAlign w:val="center"/>
          </w:tcPr>
          <w:p w14:paraId="74A8DB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分级</w:t>
            </w:r>
          </w:p>
        </w:tc>
        <w:tc>
          <w:tcPr>
            <w:tcW w:w="1614" w:type="dxa"/>
            <w:shd w:val="clear"/>
            <w:vAlign w:val="center"/>
          </w:tcPr>
          <w:p w14:paraId="5A4FB6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指标范围 (×10⁹/L)</w:t>
            </w:r>
          </w:p>
        </w:tc>
        <w:tc>
          <w:tcPr>
            <w:tcW w:w="2013" w:type="dxa"/>
            <w:shd w:val="clear"/>
            <w:vAlign w:val="center"/>
          </w:tcPr>
          <w:p w14:paraId="528413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处理原则</w:t>
            </w:r>
          </w:p>
        </w:tc>
        <w:tc>
          <w:tcPr>
            <w:tcW w:w="1998" w:type="dxa"/>
            <w:shd w:val="clear"/>
            <w:vAlign w:val="center"/>
          </w:tcPr>
          <w:p w14:paraId="434358D0">
            <w:pPr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/>
                <w:sz w:val="24"/>
                <w:lang w:val="en-US" w:eastAsia="zh-CN"/>
              </w:rPr>
              <w:t>出院医嘱</w:t>
            </w:r>
          </w:p>
        </w:tc>
      </w:tr>
      <w:tr w14:paraId="50EE4296">
        <w:trPr>
          <w:tblCellSpacing w:w="15" w:type="dxa"/>
        </w:trPr>
        <w:tc>
          <w:tcPr>
            <w:tcW w:w="629" w:type="dxa"/>
            <w:shd w:val="clear"/>
            <w:vAlign w:val="center"/>
          </w:tcPr>
          <w:p w14:paraId="08B44B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0级</w:t>
            </w:r>
          </w:p>
        </w:tc>
        <w:tc>
          <w:tcPr>
            <w:tcW w:w="1614" w:type="dxa"/>
            <w:shd w:val="clear"/>
            <w:vAlign w:val="center"/>
          </w:tcPr>
          <w:p w14:paraId="77B5CBC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≥1.5</w:t>
            </w:r>
          </w:p>
        </w:tc>
        <w:tc>
          <w:tcPr>
            <w:tcW w:w="2013" w:type="dxa"/>
            <w:shd w:val="clear"/>
            <w:vAlign w:val="center"/>
          </w:tcPr>
          <w:p w14:paraId="52D2E81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正常范围，无需处理</w:t>
            </w:r>
          </w:p>
        </w:tc>
        <w:tc>
          <w:tcPr>
            <w:tcW w:w="1998" w:type="dxa"/>
            <w:shd w:val="clear"/>
            <w:vAlign w:val="center"/>
          </w:tcPr>
          <w:p w14:paraId="6C247F3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5468725D">
        <w:trPr>
          <w:tblCellSpacing w:w="15" w:type="dxa"/>
        </w:trPr>
        <w:tc>
          <w:tcPr>
            <w:tcW w:w="629" w:type="dxa"/>
            <w:shd w:val="clear"/>
            <w:vAlign w:val="center"/>
          </w:tcPr>
          <w:p w14:paraId="7A894D4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I级</w:t>
            </w:r>
          </w:p>
        </w:tc>
        <w:tc>
          <w:tcPr>
            <w:tcW w:w="1614" w:type="dxa"/>
            <w:shd w:val="clear"/>
            <w:vAlign w:val="center"/>
          </w:tcPr>
          <w:p w14:paraId="65ED53B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1.0–1.4</w:t>
            </w:r>
          </w:p>
        </w:tc>
        <w:tc>
          <w:tcPr>
            <w:tcW w:w="2013" w:type="dxa"/>
            <w:shd w:val="clear"/>
            <w:vAlign w:val="center"/>
          </w:tcPr>
          <w:p w14:paraId="23F8282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轻度减少，观察即可，注意感染预防</w:t>
            </w:r>
          </w:p>
        </w:tc>
        <w:tc>
          <w:tcPr>
            <w:tcW w:w="1998" w:type="dxa"/>
            <w:shd w:val="clear"/>
            <w:vAlign w:val="center"/>
          </w:tcPr>
          <w:p w14:paraId="3BE6CEF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 w14:paraId="14E5D2A8">
        <w:trPr>
          <w:tblCellSpacing w:w="15" w:type="dxa"/>
        </w:trPr>
        <w:tc>
          <w:tcPr>
            <w:tcW w:w="629" w:type="dxa"/>
            <w:shd w:val="clear"/>
            <w:vAlign w:val="center"/>
          </w:tcPr>
          <w:p w14:paraId="1965610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II级</w:t>
            </w:r>
          </w:p>
        </w:tc>
        <w:tc>
          <w:tcPr>
            <w:tcW w:w="1614" w:type="dxa"/>
            <w:shd w:val="clear"/>
            <w:vAlign w:val="center"/>
          </w:tcPr>
          <w:p w14:paraId="6952532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0.5–0.9</w:t>
            </w:r>
          </w:p>
        </w:tc>
        <w:tc>
          <w:tcPr>
            <w:tcW w:w="2013" w:type="dxa"/>
            <w:shd w:val="clear"/>
            <w:vAlign w:val="center"/>
          </w:tcPr>
          <w:p w14:paraId="7C43149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中度减少，需对症处理，考虑使用升白药物</w:t>
            </w:r>
          </w:p>
        </w:tc>
        <w:tc>
          <w:tcPr>
            <w:tcW w:w="1998" w:type="dxa"/>
            <w:shd w:val="clear"/>
            <w:vAlign w:val="center"/>
          </w:tcPr>
          <w:p w14:paraId="7B25D4D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若中性粒细胞&lt;1.0×10⁹/L，立即皮下注射人粒细胞刺激因子 100μg，每日一次。连续注射3天后复查血常规，持续用药直至白细胞回升至 10.0×10⁹/L 以上</w:t>
            </w:r>
          </w:p>
        </w:tc>
      </w:tr>
      <w:tr w14:paraId="4D4E4B74">
        <w:trPr>
          <w:tblCellSpacing w:w="15" w:type="dxa"/>
        </w:trPr>
        <w:tc>
          <w:tcPr>
            <w:tcW w:w="629" w:type="dxa"/>
            <w:shd w:val="clear"/>
            <w:vAlign w:val="center"/>
          </w:tcPr>
          <w:p w14:paraId="6A34E0C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III级</w:t>
            </w:r>
          </w:p>
        </w:tc>
        <w:tc>
          <w:tcPr>
            <w:tcW w:w="1614" w:type="dxa"/>
            <w:shd w:val="clear"/>
            <w:vAlign w:val="center"/>
          </w:tcPr>
          <w:p w14:paraId="4FCACA7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0.1–0.4</w:t>
            </w:r>
          </w:p>
        </w:tc>
        <w:tc>
          <w:tcPr>
            <w:tcW w:w="2013" w:type="dxa"/>
            <w:shd w:val="clear"/>
            <w:vAlign w:val="center"/>
          </w:tcPr>
          <w:p w14:paraId="5AF843B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重度减少，必须使用升白针，密切监测</w:t>
            </w:r>
          </w:p>
        </w:tc>
        <w:tc>
          <w:tcPr>
            <w:tcW w:w="1998" w:type="dxa"/>
            <w:shd w:val="clear"/>
            <w:vAlign w:val="center"/>
          </w:tcPr>
          <w:p w14:paraId="0F0C97B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若中性粒细胞&lt;0.5×10⁹/L，或合并发热(体温&gt;38.0℃)，须在升白同时及时使用抗生素，并根据医嘱行血培养检查。</w:t>
            </w:r>
          </w:p>
        </w:tc>
      </w:tr>
      <w:tr w14:paraId="4D35577A">
        <w:trPr>
          <w:tblCellSpacing w:w="15" w:type="dxa"/>
        </w:trPr>
        <w:tc>
          <w:tcPr>
            <w:tcW w:w="629" w:type="dxa"/>
            <w:shd w:val="clear"/>
            <w:vAlign w:val="center"/>
          </w:tcPr>
          <w:p w14:paraId="4C0C40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IV级</w:t>
            </w:r>
          </w:p>
        </w:tc>
        <w:tc>
          <w:tcPr>
            <w:tcW w:w="1614" w:type="dxa"/>
            <w:shd w:val="clear"/>
            <w:vAlign w:val="center"/>
          </w:tcPr>
          <w:p w14:paraId="7EE176A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&lt;0.1</w:t>
            </w:r>
          </w:p>
        </w:tc>
        <w:tc>
          <w:tcPr>
            <w:tcW w:w="2013" w:type="dxa"/>
            <w:shd w:val="clear"/>
            <w:vAlign w:val="center"/>
          </w:tcPr>
          <w:p w14:paraId="76B8310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极重度减少，立即使用升白针，预防感染，可能需暂停化疗</w:t>
            </w:r>
          </w:p>
        </w:tc>
        <w:tc>
          <w:tcPr>
            <w:tcW w:w="1998" w:type="dxa"/>
            <w:shd w:val="clear"/>
            <w:vAlign w:val="center"/>
          </w:tcPr>
          <w:p w14:paraId="0EE5B28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4FFC8BE4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</w:rPr>
        <w:t>注意事项</w:t>
      </w:r>
    </w:p>
    <w:p w14:paraId="39CAA03B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</w:rPr>
        <w:t>自我监测：每日早晚测体温，≥37.5℃警惕，≥38.0℃立即就医。</w:t>
      </w:r>
    </w:p>
    <w:p w14:paraId="21E6C603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rFonts w:ascii="宋体" w:hAnsi="宋体" w:eastAsia="宋体" w:cs="宋体"/>
          <w:b w:val="0"/>
          <w:bCs/>
          <w:i w:val="0"/>
          <w:spacing w:val="0"/>
          <w:sz w:val="24"/>
        </w:rPr>
      </w:pPr>
      <w:r>
        <w:rPr>
          <w:rFonts w:hint="eastAsia" w:ascii="宋体" w:hAnsi="宋体" w:eastAsia="宋体" w:cs="宋体"/>
          <w:b w:val="0"/>
          <w:bCs/>
          <w:i w:val="0"/>
          <w:spacing w:val="0"/>
          <w:sz w:val="24"/>
        </w:rPr>
        <w:t>生活护理：使用软毛牙刷，避免挖鼻，保持皮肤清洁，避免去人群密集场所。</w:t>
      </w:r>
    </w:p>
    <w:p w14:paraId="46CE9CCA">
      <w:pPr>
        <w:pageBreakBefore w:val="0"/>
        <w:numPr>
          <w:ilvl w:val="0"/>
          <w:numId w:val="1"/>
        </w:numPr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白细胞 (WBC)</w:t>
      </w:r>
    </w:p>
    <w:p w14:paraId="4752E791">
      <w:pPr>
        <w:pageBreakBefore w:val="0"/>
        <w:numPr>
          <w:numId w:val="0"/>
        </w:numPr>
        <w:wordWrap/>
        <w:spacing w:before="160" w:after="0"/>
        <w:ind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临床意义</w:t>
      </w:r>
      <w:bookmarkStart w:id="0" w:name="_GoBack"/>
      <w:bookmarkEnd w:id="0"/>
    </w:p>
    <w:p w14:paraId="303D06BE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60A26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白细胞总数反映整体免疫状态，是人体防御系统的重要组成部分。化疗常导致白细胞减少（白细胞减少症），显著增加感染易感性，严重时可引发致命性感染。</w:t>
      </w:r>
    </w:p>
    <w:p w14:paraId="4180F8B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6"/>
        <w:gridCol w:w="1471"/>
        <w:gridCol w:w="3643"/>
        <w:gridCol w:w="2060"/>
      </w:tblGrid>
      <w:tr w14:paraId="52C38850">
        <w:tc>
          <w:tcPr>
            <w:tcW w:w="1066" w:type="dxa"/>
            <w:shd w:val="clear" w:color="auto" w:fill="EEEEEE"/>
          </w:tcPr>
          <w:p w14:paraId="0E8ACFF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分级</w:t>
            </w:r>
          </w:p>
        </w:tc>
        <w:tc>
          <w:tcPr>
            <w:tcW w:w="1471" w:type="dxa"/>
            <w:shd w:val="clear" w:color="auto" w:fill="EEEEEE"/>
          </w:tcPr>
          <w:p w14:paraId="05B0CAC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白细胞 (×10⁹/L)</w:t>
            </w:r>
          </w:p>
        </w:tc>
        <w:tc>
          <w:tcPr>
            <w:tcW w:w="3643" w:type="dxa"/>
            <w:shd w:val="clear" w:color="auto" w:fill="EEEEEE"/>
            <w:vAlign w:val="top"/>
          </w:tcPr>
          <w:p w14:paraId="7ECCAA51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处理原则</w:t>
            </w:r>
          </w:p>
        </w:tc>
        <w:tc>
          <w:tcPr>
            <w:tcW w:w="2060" w:type="dxa"/>
            <w:shd w:val="clear" w:color="auto" w:fill="EEEEEE"/>
          </w:tcPr>
          <w:p w14:paraId="068C71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出院医嘱</w:t>
            </w:r>
          </w:p>
        </w:tc>
      </w:tr>
      <w:tr w14:paraId="085BF1EE">
        <w:tc>
          <w:tcPr>
            <w:tcW w:w="1066" w:type="dxa"/>
          </w:tcPr>
          <w:p w14:paraId="309C2A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0级</w:t>
            </w:r>
          </w:p>
        </w:tc>
        <w:tc>
          <w:tcPr>
            <w:tcW w:w="1471" w:type="dxa"/>
          </w:tcPr>
          <w:p w14:paraId="52EFF4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≥4.0</w:t>
            </w:r>
          </w:p>
        </w:tc>
        <w:tc>
          <w:tcPr>
            <w:tcW w:w="3643" w:type="dxa"/>
            <w:vAlign w:val="top"/>
          </w:tcPr>
          <w:p w14:paraId="733400A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正常范围，无需处理</w:t>
            </w:r>
          </w:p>
        </w:tc>
        <w:tc>
          <w:tcPr>
            <w:tcW w:w="2060" w:type="dxa"/>
          </w:tcPr>
          <w:p w14:paraId="450D0D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45128202">
        <w:tc>
          <w:tcPr>
            <w:tcW w:w="1066" w:type="dxa"/>
          </w:tcPr>
          <w:p w14:paraId="5B914B5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Ⅰ级</w:t>
            </w:r>
          </w:p>
        </w:tc>
        <w:tc>
          <w:tcPr>
            <w:tcW w:w="1471" w:type="dxa"/>
          </w:tcPr>
          <w:p w14:paraId="311135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3.0-3.9</w:t>
            </w:r>
          </w:p>
        </w:tc>
        <w:tc>
          <w:tcPr>
            <w:tcW w:w="3643" w:type="dxa"/>
            <w:vAlign w:val="top"/>
          </w:tcPr>
          <w:p w14:paraId="007DC458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轻度减少，观察即可，注意预防感染</w:t>
            </w:r>
          </w:p>
        </w:tc>
        <w:tc>
          <w:tcPr>
            <w:tcW w:w="2060" w:type="dxa"/>
          </w:tcPr>
          <w:p w14:paraId="31D0A2B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7B3E2F00">
        <w:tc>
          <w:tcPr>
            <w:tcW w:w="1066" w:type="dxa"/>
          </w:tcPr>
          <w:p w14:paraId="37843F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Ⅱ级</w:t>
            </w:r>
          </w:p>
        </w:tc>
        <w:tc>
          <w:tcPr>
            <w:tcW w:w="1471" w:type="dxa"/>
          </w:tcPr>
          <w:p w14:paraId="43B30F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2.0-2.9</w:t>
            </w:r>
          </w:p>
        </w:tc>
        <w:tc>
          <w:tcPr>
            <w:tcW w:w="3643" w:type="dxa"/>
            <w:vAlign w:val="top"/>
          </w:tcPr>
          <w:p w14:paraId="1D0FFF4E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中度减少，需对症处理，考虑使用升白药物</w:t>
            </w:r>
          </w:p>
        </w:tc>
        <w:tc>
          <w:tcPr>
            <w:tcW w:w="2060" w:type="dxa"/>
          </w:tcPr>
          <w:p w14:paraId="64DF6A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  <w:tr w14:paraId="2033C964">
        <w:tc>
          <w:tcPr>
            <w:tcW w:w="1066" w:type="dxa"/>
          </w:tcPr>
          <w:p w14:paraId="4637FDE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Ⅲ级</w:t>
            </w:r>
          </w:p>
        </w:tc>
        <w:tc>
          <w:tcPr>
            <w:tcW w:w="1471" w:type="dxa"/>
          </w:tcPr>
          <w:p w14:paraId="4A56FE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1.0-1.9</w:t>
            </w:r>
          </w:p>
        </w:tc>
        <w:tc>
          <w:tcPr>
            <w:tcW w:w="3643" w:type="dxa"/>
            <w:vAlign w:val="top"/>
          </w:tcPr>
          <w:p w14:paraId="0D14BD6B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重度减少，必须使用升白针，密切监测</w:t>
            </w:r>
          </w:p>
        </w:tc>
        <w:tc>
          <w:tcPr>
            <w:tcW w:w="2060" w:type="dxa"/>
          </w:tcPr>
          <w:p w14:paraId="069CF96A">
            <w:pPr>
              <w:pageBreakBefore w:val="0"/>
              <w:numPr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若白细胞&lt;2.0×10⁹/L 或 中性粒细胞&lt;1.0×10⁹/L，立即皮下注射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人粒细胞刺激因子 100μg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，每日一次。连续注射3天后复查血常规，持续用药直至白细胞回升至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10.0×10⁹/L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以上。</w:t>
            </w:r>
          </w:p>
        </w:tc>
      </w:tr>
      <w:tr w14:paraId="39D62500">
        <w:tc>
          <w:tcPr>
            <w:tcW w:w="1066" w:type="dxa"/>
          </w:tcPr>
          <w:p w14:paraId="5E2B2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Ⅳ级</w:t>
            </w:r>
          </w:p>
        </w:tc>
        <w:tc>
          <w:tcPr>
            <w:tcW w:w="1471" w:type="dxa"/>
          </w:tcPr>
          <w:p w14:paraId="6232D9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&lt;1.0</w:t>
            </w:r>
          </w:p>
        </w:tc>
        <w:tc>
          <w:tcPr>
            <w:tcW w:w="3643" w:type="dxa"/>
            <w:vAlign w:val="top"/>
          </w:tcPr>
          <w:p w14:paraId="4FF1C3C4">
            <w:pPr>
              <w:pageBreakBefore w:val="0"/>
              <w:wordWrap/>
              <w:spacing w:before="0" w:after="0"/>
              <w:ind w:left="0" w:leftChars="0" w:right="0" w:rightChars="0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极重度减少，立即使用升白针，预防感染，可能需暂停化疗</w:t>
            </w:r>
          </w:p>
        </w:tc>
        <w:tc>
          <w:tcPr>
            <w:tcW w:w="2060" w:type="dxa"/>
          </w:tcPr>
          <w:p w14:paraId="01F06619">
            <w:pPr>
              <w:pageBreakBefore w:val="0"/>
              <w:numPr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若白细胞&lt;1.0×10⁹/L (或中性粒细胞&lt;0.5×10⁹/L)，或合并发热(体温&gt;38.0℃)，须在升白同时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及时使用抗生素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，并根据医嘱行血培养检查。</w:t>
            </w:r>
          </w:p>
          <w:p w14:paraId="1FE5687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</w:p>
        </w:tc>
      </w:tr>
    </w:tbl>
    <w:p w14:paraId="373563C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注意事项</w:t>
      </w:r>
    </w:p>
    <w:p w14:paraId="7070509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自我监测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：每日早晚测体温，≥37.5℃警惕，≥38.0℃立即就医。</w:t>
      </w:r>
    </w:p>
    <w:p w14:paraId="305A8B2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生活护理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：使用软毛牙刷，避免挖鼻，保持皮肤清洁，避免去人群密集场所。</w:t>
      </w:r>
    </w:p>
    <w:p w14:paraId="3638C0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血小板 (PLT)</w:t>
      </w:r>
    </w:p>
    <w:p w14:paraId="4AA584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临床意义</w:t>
      </w:r>
    </w:p>
    <w:p w14:paraId="3D0F13C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血小板负责止血功能。减少时易出现自发性出血（如牙龈出血、瘀斑），&lt;20×10⁹/L时为出血危象，可能发生颅内出血。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1629"/>
        <w:gridCol w:w="2271"/>
        <w:gridCol w:w="1700"/>
      </w:tblGrid>
      <w:tr w14:paraId="6759AEC2">
        <w:tc>
          <w:tcPr>
            <w:tcW w:w="987" w:type="dxa"/>
            <w:shd w:val="clear" w:color="auto" w:fill="EEEEEE"/>
          </w:tcPr>
          <w:p w14:paraId="15AF58E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分级</w:t>
            </w:r>
          </w:p>
        </w:tc>
        <w:tc>
          <w:tcPr>
            <w:tcW w:w="1629" w:type="dxa"/>
            <w:shd w:val="clear" w:color="auto" w:fill="EEEEEE"/>
          </w:tcPr>
          <w:p w14:paraId="3790B4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指标范围 (×10⁹/L)</w:t>
            </w:r>
          </w:p>
        </w:tc>
        <w:tc>
          <w:tcPr>
            <w:tcW w:w="2271" w:type="dxa"/>
            <w:shd w:val="clear" w:color="auto" w:fill="EEEEEE"/>
          </w:tcPr>
          <w:p w14:paraId="183CA2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处理原则</w:t>
            </w:r>
          </w:p>
        </w:tc>
        <w:tc>
          <w:tcPr>
            <w:tcW w:w="1700" w:type="dxa"/>
            <w:shd w:val="clear" w:color="auto" w:fill="EEEEEE"/>
          </w:tcPr>
          <w:p w14:paraId="3FAA017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出院医嘱</w:t>
            </w:r>
          </w:p>
        </w:tc>
      </w:tr>
      <w:tr w14:paraId="15416AF5">
        <w:tc>
          <w:tcPr>
            <w:tcW w:w="987" w:type="dxa"/>
          </w:tcPr>
          <w:p w14:paraId="609494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0级</w:t>
            </w:r>
          </w:p>
        </w:tc>
        <w:tc>
          <w:tcPr>
            <w:tcW w:w="1629" w:type="dxa"/>
          </w:tcPr>
          <w:p w14:paraId="026F53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≥100</w:t>
            </w:r>
          </w:p>
        </w:tc>
        <w:tc>
          <w:tcPr>
            <w:tcW w:w="2271" w:type="dxa"/>
          </w:tcPr>
          <w:p w14:paraId="2306F13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正常范围，无需处理</w:t>
            </w:r>
          </w:p>
        </w:tc>
        <w:tc>
          <w:tcPr>
            <w:tcW w:w="1700" w:type="dxa"/>
          </w:tcPr>
          <w:p w14:paraId="574F24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33EDB506">
        <w:tc>
          <w:tcPr>
            <w:tcW w:w="987" w:type="dxa"/>
          </w:tcPr>
          <w:p w14:paraId="3A71875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Ⅰ级</w:t>
            </w:r>
          </w:p>
        </w:tc>
        <w:tc>
          <w:tcPr>
            <w:tcW w:w="1629" w:type="dxa"/>
          </w:tcPr>
          <w:p w14:paraId="7536F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75-99</w:t>
            </w:r>
          </w:p>
        </w:tc>
        <w:tc>
          <w:tcPr>
            <w:tcW w:w="2271" w:type="dxa"/>
          </w:tcPr>
          <w:p w14:paraId="4561FF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轻度减少，观察即可</w:t>
            </w:r>
          </w:p>
        </w:tc>
        <w:tc>
          <w:tcPr>
            <w:tcW w:w="1700" w:type="dxa"/>
          </w:tcPr>
          <w:p w14:paraId="120F69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63E95976">
        <w:tc>
          <w:tcPr>
            <w:tcW w:w="987" w:type="dxa"/>
          </w:tcPr>
          <w:p w14:paraId="2FF71E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Ⅱ级</w:t>
            </w:r>
          </w:p>
        </w:tc>
        <w:tc>
          <w:tcPr>
            <w:tcW w:w="1629" w:type="dxa"/>
          </w:tcPr>
          <w:p w14:paraId="505B9C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50-74</w:t>
            </w:r>
          </w:p>
        </w:tc>
        <w:tc>
          <w:tcPr>
            <w:tcW w:w="2271" w:type="dxa"/>
          </w:tcPr>
          <w:p w14:paraId="498481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中度减少，需对症处理，考虑使用升血小板药物</w:t>
            </w:r>
          </w:p>
        </w:tc>
        <w:tc>
          <w:tcPr>
            <w:tcW w:w="1700" w:type="dxa"/>
          </w:tcPr>
          <w:p w14:paraId="68F7E28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19361605">
        <w:tc>
          <w:tcPr>
            <w:tcW w:w="987" w:type="dxa"/>
          </w:tcPr>
          <w:p w14:paraId="70964E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Ⅲ级</w:t>
            </w:r>
          </w:p>
        </w:tc>
        <w:tc>
          <w:tcPr>
            <w:tcW w:w="1629" w:type="dxa"/>
          </w:tcPr>
          <w:p w14:paraId="5214CFA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25-49</w:t>
            </w:r>
          </w:p>
        </w:tc>
        <w:tc>
          <w:tcPr>
            <w:tcW w:w="2271" w:type="dxa"/>
          </w:tcPr>
          <w:p w14:paraId="28DB89B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重度减少，必须使用升血小板药物，密切监测</w:t>
            </w:r>
          </w:p>
        </w:tc>
        <w:tc>
          <w:tcPr>
            <w:tcW w:w="1700" w:type="dxa"/>
          </w:tcPr>
          <w:p w14:paraId="1255222F">
            <w:pPr>
              <w:pageBreakBefore w:val="0"/>
              <w:numPr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请皮下注射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血小板生成素 1ml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或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白介素-11 1.5mg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，每日一次，连续3天后再次复查血常规，直到血小板上升至 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70.0×10⁹/L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 xml:space="preserve"> 以上。</w:t>
            </w:r>
          </w:p>
        </w:tc>
      </w:tr>
      <w:tr w14:paraId="3F62BA0E">
        <w:tc>
          <w:tcPr>
            <w:tcW w:w="987" w:type="dxa"/>
          </w:tcPr>
          <w:p w14:paraId="5E66662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Ⅳ级</w:t>
            </w:r>
          </w:p>
        </w:tc>
        <w:tc>
          <w:tcPr>
            <w:tcW w:w="1629" w:type="dxa"/>
          </w:tcPr>
          <w:p w14:paraId="5B00825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&lt;25</w:t>
            </w:r>
          </w:p>
        </w:tc>
        <w:tc>
          <w:tcPr>
            <w:tcW w:w="2271" w:type="dxa"/>
          </w:tcPr>
          <w:p w14:paraId="3EFA17A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极重度减少，立即给予血小板输注及止血药物，预防出血</w:t>
            </w:r>
          </w:p>
        </w:tc>
        <w:tc>
          <w:tcPr>
            <w:tcW w:w="1700" w:type="dxa"/>
          </w:tcPr>
          <w:p w14:paraId="59A6EC4B">
            <w:pPr>
              <w:pageBreakBefore w:val="0"/>
              <w:numPr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若血小板&lt;20.0×10⁹/L属于血小板减少出血危象，应尽快给予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血小板输注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及应用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止血药物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治疗。</w:t>
            </w:r>
          </w:p>
        </w:tc>
      </w:tr>
    </w:tbl>
    <w:p w14:paraId="4DC02BD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注意事项</w:t>
      </w:r>
    </w:p>
    <w:p w14:paraId="66C1B98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自我监测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：观察皮肤有无瘀点瘀斑，牙龈有无出血，大便颜色是否变黑。</w:t>
      </w:r>
    </w:p>
    <w:p w14:paraId="556045DD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生活护理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：避免剧烈运动和碰撞，使用软毛牙刷，进食软食，保持大便通畅。</w:t>
      </w:r>
    </w:p>
    <w:p w14:paraId="4C8FD54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血红蛋白 (Hb)</w:t>
      </w:r>
    </w:p>
    <w:p w14:paraId="75C2ACF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临床意义</w:t>
      </w:r>
    </w:p>
    <w:p w14:paraId="5B3677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血红蛋白负责运输氧气。减少时导致贫血，引起乏力、头晕、心悸等症状，严重时影响心肺功能。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0"/>
        <w:gridCol w:w="1020"/>
        <w:gridCol w:w="1657"/>
        <w:gridCol w:w="1657"/>
      </w:tblGrid>
      <w:tr w14:paraId="4F73E734">
        <w:tc>
          <w:tcPr>
            <w:tcW w:w="1210" w:type="dxa"/>
            <w:shd w:val="clear" w:color="auto" w:fill="EEEEEE"/>
          </w:tcPr>
          <w:p w14:paraId="5992FA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分级</w:t>
            </w:r>
          </w:p>
        </w:tc>
        <w:tc>
          <w:tcPr>
            <w:tcW w:w="1020" w:type="dxa"/>
            <w:shd w:val="clear" w:color="auto" w:fill="EEEEEE"/>
          </w:tcPr>
          <w:p w14:paraId="4EBC64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指标范围 (g/L)</w:t>
            </w:r>
          </w:p>
        </w:tc>
        <w:tc>
          <w:tcPr>
            <w:tcW w:w="1657" w:type="dxa"/>
            <w:shd w:val="clear" w:color="auto" w:fill="EEEEEE"/>
          </w:tcPr>
          <w:p w14:paraId="119450D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处理原则</w:t>
            </w:r>
          </w:p>
        </w:tc>
        <w:tc>
          <w:tcPr>
            <w:tcW w:w="1657" w:type="dxa"/>
            <w:shd w:val="clear" w:color="auto" w:fill="EEEEEE"/>
          </w:tcPr>
          <w:p w14:paraId="245E3B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出院医嘱</w:t>
            </w:r>
          </w:p>
        </w:tc>
      </w:tr>
      <w:tr w14:paraId="11E3DF22">
        <w:tc>
          <w:tcPr>
            <w:tcW w:w="1210" w:type="dxa"/>
          </w:tcPr>
          <w:p w14:paraId="7E76150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0级</w:t>
            </w:r>
          </w:p>
        </w:tc>
        <w:tc>
          <w:tcPr>
            <w:tcW w:w="1020" w:type="dxa"/>
          </w:tcPr>
          <w:p w14:paraId="3838365C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060A26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男性≥120，女性≥110</w:t>
            </w:r>
          </w:p>
        </w:tc>
        <w:tc>
          <w:tcPr>
            <w:tcW w:w="1657" w:type="dxa"/>
          </w:tcPr>
          <w:p w14:paraId="15D3A14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正常范围，无需处理</w:t>
            </w:r>
          </w:p>
        </w:tc>
        <w:tc>
          <w:tcPr>
            <w:tcW w:w="1657" w:type="dxa"/>
          </w:tcPr>
          <w:p w14:paraId="4014DA0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3C83C7E5">
        <w:tc>
          <w:tcPr>
            <w:tcW w:w="1210" w:type="dxa"/>
          </w:tcPr>
          <w:p w14:paraId="5CDBED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Ⅰ级</w:t>
            </w:r>
          </w:p>
        </w:tc>
        <w:tc>
          <w:tcPr>
            <w:tcW w:w="1020" w:type="dxa"/>
          </w:tcPr>
          <w:p w14:paraId="0A5CC0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男性：100–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女性：90–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657" w:type="dxa"/>
          </w:tcPr>
          <w:p w14:paraId="03894D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轻度减少，观察即可，注意休息</w:t>
            </w:r>
          </w:p>
        </w:tc>
        <w:tc>
          <w:tcPr>
            <w:tcW w:w="1657" w:type="dxa"/>
          </w:tcPr>
          <w:p w14:paraId="63D6D9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2A7DB4BE">
        <w:tc>
          <w:tcPr>
            <w:tcW w:w="1210" w:type="dxa"/>
          </w:tcPr>
          <w:p w14:paraId="753AEF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Ⅱ级</w:t>
            </w:r>
          </w:p>
        </w:tc>
        <w:tc>
          <w:tcPr>
            <w:tcW w:w="1020" w:type="dxa"/>
          </w:tcPr>
          <w:p w14:paraId="35134E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80-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100</w:t>
            </w:r>
          </w:p>
        </w:tc>
        <w:tc>
          <w:tcPr>
            <w:tcW w:w="1657" w:type="dxa"/>
          </w:tcPr>
          <w:p w14:paraId="31DEBB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中度减少，需对症处理，考虑使用升红药物</w:t>
            </w:r>
          </w:p>
        </w:tc>
        <w:tc>
          <w:tcPr>
            <w:tcW w:w="1657" w:type="dxa"/>
          </w:tcPr>
          <w:p w14:paraId="4B36146E">
            <w:pPr>
              <w:pageBreakBefore w:val="0"/>
              <w:numPr>
                <w:numId w:val="0"/>
              </w:numPr>
              <w:wordWrap/>
              <w:spacing w:before="160" w:after="0"/>
              <w:ind w:leftChars="0" w:right="0" w:rightChars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若血红蛋白&lt;100g/L，除外出血等原因后，可皮下注射</w:t>
            </w: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促红细胞生成素</w:t>
            </w: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。</w:t>
            </w:r>
          </w:p>
          <w:p w14:paraId="7429DC8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5D778753">
        <w:tc>
          <w:tcPr>
            <w:tcW w:w="1210" w:type="dxa"/>
          </w:tcPr>
          <w:p w14:paraId="6B1415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Ⅲ级</w:t>
            </w:r>
          </w:p>
        </w:tc>
        <w:tc>
          <w:tcPr>
            <w:tcW w:w="1020" w:type="dxa"/>
          </w:tcPr>
          <w:p w14:paraId="5FC7A0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65-79</w:t>
            </w:r>
          </w:p>
        </w:tc>
        <w:tc>
          <w:tcPr>
            <w:tcW w:w="1657" w:type="dxa"/>
          </w:tcPr>
          <w:p w14:paraId="1B8336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重度减少，必须使用升红药物，密切监测</w:t>
            </w:r>
          </w:p>
        </w:tc>
        <w:tc>
          <w:tcPr>
            <w:tcW w:w="1657" w:type="dxa"/>
          </w:tcPr>
          <w:p w14:paraId="37327EB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</w:p>
        </w:tc>
      </w:tr>
      <w:tr w14:paraId="79BB1AA1">
        <w:tc>
          <w:tcPr>
            <w:tcW w:w="1210" w:type="dxa"/>
          </w:tcPr>
          <w:p w14:paraId="422EFB7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Ⅳ级</w:t>
            </w:r>
          </w:p>
        </w:tc>
        <w:tc>
          <w:tcPr>
            <w:tcW w:w="1020" w:type="dxa"/>
          </w:tcPr>
          <w:p w14:paraId="33ACCF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&lt;65</w:t>
            </w:r>
          </w:p>
        </w:tc>
        <w:tc>
          <w:tcPr>
            <w:tcW w:w="1657" w:type="dxa"/>
          </w:tcPr>
          <w:p w14:paraId="5A9A17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极重度减少，立即输血治疗，预防心衰</w:t>
            </w:r>
          </w:p>
        </w:tc>
        <w:tc>
          <w:tcPr>
            <w:tcW w:w="1657" w:type="dxa"/>
          </w:tcPr>
          <w:p w14:paraId="33133B8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若贫血严重（如Hb&lt;60g/L）或有明显心慌、气短等症状，必要时输血治疗。</w:t>
            </w:r>
          </w:p>
        </w:tc>
      </w:tr>
    </w:tbl>
    <w:p w14:paraId="172ECE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注意事项</w:t>
      </w:r>
    </w:p>
    <w:p w14:paraId="1BF9D69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饮食建议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：多进食富含铁、蛋白质和维生素的食物，如瘦肉、动物肝脏、绿叶蔬菜、豆制品等。</w:t>
      </w:r>
    </w:p>
    <w:p w14:paraId="3D4334F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生活护理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：保证充足睡眠，避免劳累，活动时动作缓慢，防止跌倒。</w:t>
      </w:r>
    </w:p>
    <w:p w14:paraId="7190D58A">
      <w:pPr>
        <w:jc w:val="left"/>
      </w:pP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B11D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E9F3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FEF92"/>
    <w:multiLevelType w:val="multilevel"/>
    <w:tmpl w:val="E67FEF9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ECBF94A2"/>
    <w:multiLevelType w:val="multilevel"/>
    <w:tmpl w:val="ECBF94A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FBADD0EC"/>
    <w:multiLevelType w:val="multilevel"/>
    <w:tmpl w:val="FBADD0E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6FEAB6B8"/>
    <w:multiLevelType w:val="singleLevel"/>
    <w:tmpl w:val="6FEAB6B8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FDE575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2026-03-26T17:41:00Z</dcterms:created>
  <dc:creator>Apache POI</dc:creator>
  <cp:lastModifiedBy>WPS_1643450934</cp:lastModifiedBy>
  <dcterms:modified xsi:type="dcterms:W3CDTF">2026-03-26T18:14:17Z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MJPkyIItYBvl0J1hGUiIUABpjMkFsra7HmA9GPn4QoQ=","ProduceID":"doc_sgs:1e903cfb-7108-4e19-b688-54ecfe9edd1d","ReservedCode2":"MJPkyIItYBvl0J1hGUiIUABpjMkFsra7HmA9GPn4QoQ=","PropagateID":"doc_sgs:1e903cfb-7108-4e19-b688-54ecfe9edd1d","ContentProducer":"001191440101MA9Y9T4H7A00000"}</vt:lpwstr>
  </property>
  <property fmtid="{D5CDD505-2E9C-101B-9397-08002B2CF9AE}" pid="3" name="KSOProductBuildVer">
    <vt:lpwstr>2052-12.1.24709.24709</vt:lpwstr>
  </property>
  <property fmtid="{D5CDD505-2E9C-101B-9397-08002B2CF9AE}" pid="4" name="ICV">
    <vt:lpwstr>62090862CD00B4B9F906C569BC599624_42</vt:lpwstr>
  </property>
</Properties>
</file>