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C54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《数据分析与数据挖掘》期末复习核心知识点大纲</w:t>
      </w:r>
    </w:p>
    <w:p w14:paraId="46CB27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 数据挖掘导论与方法论（方法常识篇）</w:t>
      </w:r>
    </w:p>
    <w:p w14:paraId="1BEAA9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数据挖掘的本质</w:t>
      </w:r>
      <w:r>
        <w:rPr>
          <w:rFonts w:hint="eastAsia" w:ascii="宋体" w:hAnsi="宋体" w:eastAsia="宋体" w:cs="宋体"/>
        </w:rPr>
        <w:t>：理解数据挖掘属于</w:t>
      </w:r>
      <w:r>
        <w:rPr>
          <w:rFonts w:hint="eastAsia" w:ascii="宋体" w:hAnsi="宋体" w:eastAsia="宋体" w:cs="宋体"/>
          <w:b/>
          <w:bCs/>
        </w:rPr>
        <w:t>归纳推理</w:t>
      </w:r>
      <w:r>
        <w:rPr>
          <w:rFonts w:hint="eastAsia" w:ascii="宋体" w:hAnsi="宋体" w:eastAsia="宋体" w:cs="宋体"/>
        </w:rPr>
        <w:t xml:space="preserve">，而传统查询/OLAP属于演绎推理；明确数据挖掘的核心任务是回答“未来还会发生什么、有哪些未发现的规律”等预测性/深层次问题。 </w:t>
      </w:r>
    </w:p>
    <w:p w14:paraId="3EC4B4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7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核心任务分类</w:t>
      </w:r>
      <w:r>
        <w:rPr>
          <w:rFonts w:hint="eastAsia" w:ascii="宋体" w:hAnsi="宋体" w:eastAsia="宋体" w:cs="宋体"/>
        </w:rPr>
        <w:t>：</w:t>
      </w:r>
    </w:p>
    <w:p w14:paraId="33C126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144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预测类任务</w:t>
      </w:r>
      <w:r>
        <w:rPr>
          <w:rFonts w:hint="eastAsia" w:ascii="宋体" w:hAnsi="宋体" w:eastAsia="宋体" w:cs="宋体"/>
        </w:rPr>
        <w:t xml:space="preserve">：分类（Classification）、回归（Regression）。 </w:t>
      </w:r>
    </w:p>
    <w:p w14:paraId="4F3F02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144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描述类任务</w:t>
      </w:r>
      <w:r>
        <w:rPr>
          <w:rFonts w:hint="eastAsia" w:ascii="宋体" w:hAnsi="宋体" w:eastAsia="宋体" w:cs="宋体"/>
        </w:rPr>
        <w:t xml:space="preserve">：聚类（Clustering）、关联规则发现（Association Rule Discovery）。 </w:t>
      </w:r>
    </w:p>
    <w:p w14:paraId="42E0FD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72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常见生命周期模型</w:t>
      </w:r>
      <w:r>
        <w:rPr>
          <w:rFonts w:hint="eastAsia" w:ascii="宋体" w:hAnsi="宋体" w:eastAsia="宋体" w:cs="宋体"/>
        </w:rPr>
        <w:t xml:space="preserve">：理解 </w:t>
      </w:r>
      <w:r>
        <w:rPr>
          <w:rFonts w:hint="eastAsia" w:ascii="宋体" w:hAnsi="宋体" w:eastAsia="宋体" w:cs="宋体"/>
          <w:b/>
          <w:bCs/>
        </w:rPr>
        <w:t>SEMMA</w:t>
      </w:r>
      <w:r>
        <w:rPr>
          <w:rFonts w:hint="eastAsia" w:ascii="宋体" w:hAnsi="宋体" w:eastAsia="宋体" w:cs="宋体"/>
        </w:rPr>
        <w:t xml:space="preserve"> 方法的反馈机制（如结果未达预期可返回数据抽样环节重新开始）。 </w:t>
      </w:r>
    </w:p>
    <w:p w14:paraId="04DCADF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 数据抽样与集成（数据准备篇 - 上）</w:t>
      </w:r>
    </w:p>
    <w:p w14:paraId="4F43E6F4">
      <w:pPr>
        <w:pStyle w:val="4"/>
        <w:keepNext w:val="0"/>
        <w:keepLines w:val="0"/>
        <w:pageBreakBefore w:val="0"/>
        <w:widowControl/>
        <w:suppressLineNumbers w:val="0"/>
        <w:tabs>
          <w:tab w:val="left" w:pos="6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</w:rPr>
        <w:t>数据抽样技术</w:t>
      </w:r>
      <w:r>
        <w:rPr>
          <w:rFonts w:hint="eastAsia" w:ascii="宋体" w:hAnsi="宋体" w:eastAsia="宋体" w:cs="宋体"/>
        </w:rPr>
        <w:t>：</w:t>
      </w:r>
    </w:p>
    <w:p w14:paraId="5A7090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简单随机抽样</w:t>
      </w:r>
      <w:r>
        <w:rPr>
          <w:rFonts w:hint="eastAsia" w:ascii="宋体" w:hAnsi="宋体" w:eastAsia="宋体" w:cs="宋体"/>
        </w:rPr>
        <w:t xml:space="preserve">：理解“有放回抽样”（多用于理论模拟）与“无放回抽样”（极常用于实际应用）的区别与特点。 </w:t>
      </w:r>
    </w:p>
    <w:p w14:paraId="52D09A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分层抽样</w:t>
      </w:r>
      <w:r>
        <w:rPr>
          <w:rFonts w:hint="eastAsia" w:ascii="宋体" w:hAnsi="宋体" w:eastAsia="宋体" w:cs="宋体"/>
        </w:rPr>
        <w:t xml:space="preserve">：掌握其优缺点（适用于层间异质、层内同质的总体，在样本量相同时精度高于简单和系统抽样，能保证各层的代表性）。 </w:t>
      </w:r>
    </w:p>
    <w:p w14:paraId="152D0D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3）</w:t>
      </w:r>
      <w:r>
        <w:rPr>
          <w:rFonts w:hint="eastAsia" w:ascii="宋体" w:hAnsi="宋体" w:eastAsia="宋体" w:cs="宋体"/>
          <w:b/>
          <w:bCs/>
        </w:rPr>
        <w:t>整群抽样</w:t>
      </w:r>
      <w:r>
        <w:rPr>
          <w:rFonts w:hint="eastAsia" w:ascii="宋体" w:hAnsi="宋体" w:eastAsia="宋体" w:cs="宋体"/>
        </w:rPr>
        <w:t xml:space="preserve">：理解其精度通常低于简单随机抽样的理论常识。 </w:t>
      </w:r>
    </w:p>
    <w:p w14:paraId="7E5425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</w:rPr>
        <w:t>数据集成冲突与难点</w:t>
      </w:r>
      <w:r>
        <w:rPr>
          <w:rFonts w:hint="eastAsia" w:ascii="宋体" w:hAnsi="宋体" w:eastAsia="宋体" w:cs="宋体"/>
        </w:rPr>
        <w:t>：</w:t>
      </w:r>
    </w:p>
    <w:p w14:paraId="52D84E1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实体识别冲突</w:t>
      </w:r>
      <w:r>
        <w:rPr>
          <w:rFonts w:hint="eastAsia" w:ascii="宋体" w:hAnsi="宋体" w:eastAsia="宋体" w:cs="宋体"/>
        </w:rPr>
        <w:t>：如不同数据库中同一实体的同名异义、别名或表达形式异构的不一致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101F2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</w:rPr>
        <w:t>难点特征（异构性/自治性）</w:t>
      </w:r>
      <w:r>
        <w:rPr>
          <w:rFonts w:hint="eastAsia" w:ascii="宋体" w:hAnsi="宋体" w:eastAsia="宋体" w:cs="宋体"/>
        </w:rPr>
        <w:t xml:space="preserve">：理解分布式自治系统的无通知变更对数据集成带来的挑战，以及集成系统对鲁棒性（健壮性）的要求。 </w:t>
      </w:r>
    </w:p>
    <w:p w14:paraId="7B8FC1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 数据清洗、变换与描述性统计（数据准备篇 - 下）</w:t>
      </w:r>
    </w:p>
    <w:p w14:paraId="11A3AC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</w:rPr>
        <w:t>异常值（孤立点）检测与清洗</w:t>
      </w:r>
      <w:r>
        <w:rPr>
          <w:rFonts w:hint="eastAsia" w:ascii="宋体" w:hAnsi="宋体" w:eastAsia="宋体" w:cs="宋体"/>
        </w:rPr>
        <w:t>：</w:t>
      </w:r>
    </w:p>
    <w:p w14:paraId="3CB3035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记异常值的定义，阐述为何在挖掘前必须检测和清洗异常值（避免模型失真、提升算法稳定性）。 </w:t>
      </w:r>
    </w:p>
    <w:p w14:paraId="5949BA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2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3</w:t>
      </w:r>
      <w:r>
        <w:rPr>
          <w:rFonts w:hint="eastAsia" w:ascii="宋体" w:hAnsi="宋体" w:eastAsia="宋体" w:cs="宋体"/>
          <w:b/>
          <w:bCs/>
        </w:rPr>
        <w:t>σ</w:t>
      </w:r>
      <w:r>
        <w:rPr>
          <w:rFonts w:hint="eastAsia" w:ascii="宋体" w:hAnsi="宋体" w:eastAsia="宋体" w:cs="宋体"/>
          <w:b/>
          <w:bCs/>
        </w:rPr>
        <w:t xml:space="preserve"> 原则</w:t>
      </w:r>
      <w:r>
        <w:rPr>
          <w:rFonts w:hint="eastAsia" w:ascii="宋体" w:hAnsi="宋体" w:eastAsia="宋体" w:cs="宋体"/>
        </w:rPr>
        <w:t>：掌握正态分布下利用均值（</w:t>
      </w:r>
      <w:r>
        <w:rPr>
          <w:rFonts w:hint="eastAsia" w:ascii="宋体" w:hAnsi="宋体" w:eastAsia="宋体" w:cs="宋体"/>
          <w:b/>
          <w:bCs/>
        </w:rPr>
        <w:t>μ</w:t>
      </w:r>
      <w:r>
        <w:rPr>
          <w:rFonts w:hint="eastAsia" w:ascii="宋体" w:hAnsi="宋体" w:eastAsia="宋体" w:cs="宋体"/>
        </w:rPr>
        <w:t>）和标准差（</w:t>
      </w:r>
      <w:r>
        <w:rPr>
          <w:rFonts w:hint="eastAsia" w:ascii="宋体" w:hAnsi="宋体" w:eastAsia="宋体" w:cs="宋体"/>
          <w:b/>
          <w:bCs/>
        </w:rPr>
        <w:t>σ</w:t>
      </w:r>
      <w:r>
        <w:rPr>
          <w:rFonts w:hint="eastAsia" w:ascii="宋体" w:hAnsi="宋体" w:eastAsia="宋体" w:cs="宋体"/>
        </w:rPr>
        <w:t>）计算正常数据区间 [</w:t>
      </w:r>
      <w:r>
        <w:rPr>
          <w:rFonts w:hint="eastAsia" w:ascii="宋体" w:hAnsi="宋体" w:eastAsia="宋体" w:cs="宋体"/>
          <w:b/>
          <w:bCs/>
        </w:rPr>
        <w:t>μ</w:t>
      </w:r>
      <w:r>
        <w:rPr>
          <w:rFonts w:hint="eastAsia" w:ascii="宋体" w:hAnsi="宋体" w:eastAsia="宋体" w:cs="宋体"/>
        </w:rPr>
        <w:t xml:space="preserve"> - 3</w:t>
      </w:r>
      <w:r>
        <w:rPr>
          <w:rFonts w:hint="eastAsia" w:ascii="宋体" w:hAnsi="宋体" w:eastAsia="宋体" w:cs="宋体"/>
          <w:b/>
          <w:bCs/>
        </w:rPr>
        <w:t>σ</w:t>
      </w:r>
      <w:r>
        <w:rPr>
          <w:rFonts w:hint="eastAsia" w:ascii="宋体" w:hAnsi="宋体" w:eastAsia="宋体" w:cs="宋体"/>
        </w:rPr>
        <w:t xml:space="preserve">, </w:t>
      </w:r>
      <w:r>
        <w:rPr>
          <w:rFonts w:hint="eastAsia" w:ascii="宋体" w:hAnsi="宋体" w:eastAsia="宋体" w:cs="宋体"/>
          <w:b/>
          <w:bCs/>
        </w:rPr>
        <w:t>μ</w:t>
      </w:r>
      <w:r>
        <w:rPr>
          <w:rFonts w:hint="eastAsia" w:ascii="宋体" w:hAnsi="宋体" w:eastAsia="宋体" w:cs="宋体"/>
        </w:rPr>
        <w:t xml:space="preserve"> + 3</w:t>
      </w:r>
      <w:r>
        <w:rPr>
          <w:rFonts w:hint="eastAsia" w:ascii="宋体" w:hAnsi="宋体" w:eastAsia="宋体" w:cs="宋体"/>
          <w:b/>
          <w:bCs/>
        </w:rPr>
        <w:t>σ</w:t>
      </w:r>
      <w:r>
        <w:rPr>
          <w:rFonts w:hint="eastAsia" w:ascii="宋体" w:hAnsi="宋体" w:eastAsia="宋体" w:cs="宋体"/>
        </w:rPr>
        <w:t xml:space="preserve">] 的方法，并能准确识别区间外的异常值。 </w:t>
      </w:r>
    </w:p>
    <w:p w14:paraId="0332E5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</w:rPr>
        <w:t>稳健统计量</w:t>
      </w:r>
      <w:r>
        <w:rPr>
          <w:rFonts w:hint="eastAsia" w:ascii="宋体" w:hAnsi="宋体" w:eastAsia="宋体" w:cs="宋体"/>
        </w:rPr>
        <w:t xml:space="preserve">：掌握四分位极差（IQR）的内涵；明确中位数绝对偏差（MAD）是对异常值“极度不敏感”的最稳健差异量数。 </w:t>
      </w:r>
    </w:p>
    <w:p w14:paraId="344859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</w:rPr>
        <w:t>数据属性类型</w:t>
      </w:r>
      <w:r>
        <w:rPr>
          <w:rFonts w:hint="eastAsia" w:ascii="宋体" w:hAnsi="宋体" w:eastAsia="宋体" w:cs="宋体"/>
        </w:rPr>
        <w:t>：</w:t>
      </w:r>
    </w:p>
    <w:p w14:paraId="62FE29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定性数据</w:t>
      </w:r>
      <w:r>
        <w:rPr>
          <w:rFonts w:hint="eastAsia" w:ascii="宋体" w:hAnsi="宋体" w:eastAsia="宋体" w:cs="宋体"/>
        </w:rPr>
        <w:t xml:space="preserve">：标称型/定类（如性别、血型，无顺序差异）；有序型/定序（如成绩等级、借阅频率，有顺序但不能进行常规加减数学运算）。 </w:t>
      </w:r>
    </w:p>
    <w:p w14:paraId="583EDA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</w:rPr>
        <w:t>定量数据</w:t>
      </w:r>
      <w:r>
        <w:rPr>
          <w:rFonts w:hint="eastAsia" w:ascii="宋体" w:hAnsi="宋体" w:eastAsia="宋体" w:cs="宋体"/>
        </w:rPr>
        <w:t xml:space="preserve">：连续型（如销售额，取区间内任意值）；离散型（如企业个数，只能取特定孤立值）。 </w:t>
      </w:r>
    </w:p>
    <w:p w14:paraId="676372B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</w:rPr>
        <w:t>数据变换与特征工程</w:t>
      </w:r>
      <w:r>
        <w:rPr>
          <w:rFonts w:hint="eastAsia" w:ascii="宋体" w:hAnsi="宋体" w:eastAsia="宋体" w:cs="宋体"/>
        </w:rPr>
        <w:t>：</w:t>
      </w:r>
    </w:p>
    <w:p w14:paraId="28E872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归一化（Normalization）</w:t>
      </w:r>
      <w:r>
        <w:rPr>
          <w:rFonts w:hint="eastAsia" w:ascii="宋体" w:hAnsi="宋体" w:eastAsia="宋体" w:cs="宋体"/>
        </w:rPr>
        <w:t>：将数据映射变换到 [0, 1] 区间。</w:t>
      </w:r>
    </w:p>
    <w:p w14:paraId="0075E4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</w:rPr>
        <w:t>哈希编码（Hash Encoding）</w:t>
      </w:r>
      <w:r>
        <w:rPr>
          <w:rFonts w:hint="eastAsia" w:ascii="宋体" w:hAnsi="宋体" w:eastAsia="宋体" w:cs="宋体"/>
        </w:rPr>
        <w:t xml:space="preserve">：优点是空间复杂度低、适合高基数属性，但潜在问题是可能存在哈希冲突。 </w:t>
      </w:r>
    </w:p>
    <w:p w14:paraId="75DC23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3）</w:t>
      </w:r>
      <w:r>
        <w:rPr>
          <w:rFonts w:hint="eastAsia" w:ascii="宋体" w:hAnsi="宋体" w:eastAsia="宋体" w:cs="宋体"/>
          <w:b/>
          <w:bCs/>
        </w:rPr>
        <w:t>离散化（分箱）</w:t>
      </w:r>
      <w:r>
        <w:rPr>
          <w:rFonts w:hint="eastAsia" w:ascii="宋体" w:hAnsi="宋体" w:eastAsia="宋体" w:cs="宋体"/>
        </w:rPr>
        <w:t xml:space="preserve">：把连续数字变成类别的过程，可减少属性值个数、消除奇异值影响，但分割点数目通常需要用户干预或依算法而定。 </w:t>
      </w:r>
    </w:p>
    <w:p w14:paraId="101298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4）</w:t>
      </w:r>
      <w:r>
        <w:rPr>
          <w:rFonts w:hint="eastAsia" w:ascii="宋体" w:hAnsi="宋体" w:eastAsia="宋体" w:cs="宋体"/>
          <w:b/>
          <w:bCs/>
        </w:rPr>
        <w:t>主成分分析（PCA）</w:t>
      </w:r>
      <w:r>
        <w:rPr>
          <w:rFonts w:hint="eastAsia" w:ascii="宋体" w:hAnsi="宋体" w:eastAsia="宋体" w:cs="宋体"/>
        </w:rPr>
        <w:t xml:space="preserve">：理解降维后的主成分含义通常比原始变量更加模糊/抽象，而非更清楚。 </w:t>
      </w:r>
    </w:p>
    <w:p w14:paraId="2EDB46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5）</w:t>
      </w:r>
      <w:r>
        <w:rPr>
          <w:rFonts w:hint="eastAsia" w:ascii="宋体" w:hAnsi="宋体" w:eastAsia="宋体" w:cs="宋体"/>
          <w:b/>
          <w:bCs/>
        </w:rPr>
        <w:t>统计学基础</w:t>
      </w:r>
      <w:r>
        <w:rPr>
          <w:rFonts w:hint="eastAsia" w:ascii="宋体" w:hAnsi="宋体" w:eastAsia="宋体" w:cs="宋体"/>
        </w:rPr>
        <w:t xml:space="preserve">：掌握协方差（Covariance）的数学含义（同向为正、反向为负、相同变量的协方差即为方差）。 </w:t>
      </w:r>
    </w:p>
    <w:p w14:paraId="45AD41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 关联规则挖掘（经典算法篇 - 1）</w:t>
      </w:r>
    </w:p>
    <w:p w14:paraId="571A4F3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</w:rPr>
        <w:t>核心评估指标计算</w:t>
      </w:r>
      <w:r>
        <w:rPr>
          <w:rFonts w:hint="eastAsia" w:ascii="宋体" w:hAnsi="宋体" w:eastAsia="宋体" w:cs="宋体"/>
        </w:rPr>
        <w:t>（重点大题）：</w:t>
      </w:r>
    </w:p>
    <w:p w14:paraId="73B393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支持度（Support）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847725" cy="3429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，项集在所有交易中同时出现的概率。 </w:t>
      </w:r>
    </w:p>
    <w:p w14:paraId="040C88F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</w:rPr>
        <w:t>置信度（Confidence）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943100" cy="371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，条件概率的计算与应用。 </w:t>
      </w:r>
    </w:p>
    <w:p w14:paraId="5B7264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3）</w:t>
      </w:r>
      <w:r>
        <w:rPr>
          <w:rFonts w:hint="eastAsia" w:ascii="宋体" w:hAnsi="宋体" w:eastAsia="宋体" w:cs="宋体"/>
          <w:b/>
          <w:bCs/>
        </w:rPr>
        <w:t>提升度（Lift） / 兴趣因子（Interest Factor）</w:t>
      </w:r>
      <w:r>
        <w:rPr>
          <w:rFonts w:hint="eastAsia" w:ascii="宋体" w:hAnsi="宋体" w:eastAsia="宋体" w:cs="宋体"/>
        </w:rPr>
        <w:t>：</w:t>
      </w:r>
    </w:p>
    <w:p w14:paraId="1CDC06B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default" w:ascii="Calibri" w:hAnsi="Calibri" w:eastAsia="宋体" w:cs="Calibri"/>
        </w:rPr>
        <w:t>①</w:t>
      </w:r>
      <w:r>
        <w:rPr>
          <w:rFonts w:hint="eastAsia" w:ascii="宋体" w:hAnsi="宋体" w:eastAsia="宋体" w:cs="宋体"/>
        </w:rPr>
        <w:t>公式含义：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19431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D227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default" w:ascii="Calibri" w:hAnsi="Calibri" w:eastAsia="宋体" w:cs="Calibri"/>
        </w:rPr>
        <w:t>②</w:t>
      </w:r>
      <w:r>
        <w:rPr>
          <w:rFonts w:hint="eastAsia" w:ascii="宋体" w:hAnsi="宋体" w:eastAsia="宋体" w:cs="宋体"/>
        </w:rPr>
        <w:t xml:space="preserve">相关性判定：=1 对应相互独立；&gt;1 对应正相关；&lt;1 对应负相关（互斥）。 </w:t>
      </w:r>
    </w:p>
    <w:p w14:paraId="2AAB9C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default" w:ascii="Calibri" w:hAnsi="Calibri" w:eastAsia="宋体" w:cs="Calibri"/>
        </w:rPr>
        <w:t>③</w:t>
      </w:r>
      <w:r>
        <w:rPr>
          <w:rFonts w:hint="eastAsia" w:ascii="宋体" w:hAnsi="宋体" w:eastAsia="宋体" w:cs="宋体"/>
        </w:rPr>
        <w:t xml:space="preserve">能够结合实际业务（如超市商品摆放、促销）解释兴趣因子或提升度的真实管理意义。 </w:t>
      </w:r>
    </w:p>
    <w:p w14:paraId="676BE6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</w:rPr>
        <w:t>经典算法对比选型</w:t>
      </w:r>
      <w:r>
        <w:rPr>
          <w:rFonts w:hint="eastAsia" w:ascii="宋体" w:hAnsi="宋体" w:eastAsia="宋体" w:cs="宋体"/>
        </w:rPr>
        <w:t>：</w:t>
      </w:r>
    </w:p>
    <w:p w14:paraId="07871B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Apriori 算法</w:t>
      </w:r>
      <w:r>
        <w:rPr>
          <w:rFonts w:hint="eastAsia" w:ascii="宋体" w:hAnsi="宋体" w:eastAsia="宋体" w:cs="宋体"/>
        </w:rPr>
        <w:t xml:space="preserve">：基于剪枝的广度搜索。理解其频繁产生海量候选集、需要多次全表扫描数据库的计算瓶颈。 </w:t>
      </w:r>
    </w:p>
    <w:p w14:paraId="5C77E8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FP-Growth 算法</w:t>
      </w:r>
      <w:r>
        <w:rPr>
          <w:rFonts w:hint="eastAsia" w:ascii="宋体" w:hAnsi="宋体" w:eastAsia="宋体" w:cs="宋体"/>
        </w:rPr>
        <w:t xml:space="preserve">：基于频繁模式树的深度分治。掌握其核心优化机制（只需扫描两次数据库、完全不产生候选集，通过内存中的FP树分治递归），以及为何在处理海量交易数据时效率更高。 </w:t>
      </w:r>
    </w:p>
    <w:p w14:paraId="027AB5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 分类预测（经典算法篇 - 2）</w:t>
      </w:r>
    </w:p>
    <w:p w14:paraId="6B47BC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</w:rPr>
        <w:t>决策树分类机制</w:t>
      </w:r>
      <w:r>
        <w:rPr>
          <w:rFonts w:hint="eastAsia" w:ascii="宋体" w:hAnsi="宋体" w:eastAsia="宋体" w:cs="宋体"/>
        </w:rPr>
        <w:t>：</w:t>
      </w:r>
    </w:p>
    <w:p w14:paraId="6967F1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理解决策树的结构：内部节点表示属性上的测试，叶节点存放类标号。 </w:t>
      </w:r>
    </w:p>
    <w:p w14:paraId="5C647A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</w:rPr>
        <w:t>不纯性测量（信息增益）</w:t>
      </w:r>
      <w:r>
        <w:rPr>
          <w:rFonts w:hint="eastAsia" w:ascii="宋体" w:hAnsi="宋体" w:eastAsia="宋体" w:cs="宋体"/>
        </w:rPr>
        <w:t xml:space="preserve">：理解信息增益偏向于选择取值较多的属性，因为属性取值越多，划分后的子节点熵越容易被动降低（这也是引入增益率的原因）。 </w:t>
      </w:r>
    </w:p>
    <w:p w14:paraId="02062EC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 聚类分析（经典算法篇 - 3）</w:t>
      </w:r>
    </w:p>
    <w:p w14:paraId="6A55F1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</w:rPr>
        <w:t>K-Means 算法</w:t>
      </w:r>
      <w:r>
        <w:rPr>
          <w:rFonts w:hint="eastAsia" w:ascii="宋体" w:hAnsi="宋体" w:eastAsia="宋体" w:cs="宋体"/>
        </w:rPr>
        <w:t>：</w:t>
      </w:r>
    </w:p>
    <w:p w14:paraId="483A88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运行机制</w:t>
      </w:r>
      <w:r>
        <w:rPr>
          <w:rFonts w:hint="eastAsia" w:ascii="宋体" w:hAnsi="宋体" w:eastAsia="宋体" w:cs="宋体"/>
        </w:rPr>
        <w:t xml:space="preserve">：使用均值作为质心，使用平方误差和（SSE）衡量簇的紧凑度。 </w:t>
      </w:r>
    </w:p>
    <w:p w14:paraId="5E2974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</w:rPr>
        <w:t>初始质心选择</w:t>
      </w:r>
      <w:r>
        <w:rPr>
          <w:rFonts w:hint="eastAsia" w:ascii="宋体" w:hAnsi="宋体" w:eastAsia="宋体" w:cs="宋体"/>
        </w:rPr>
        <w:t xml:space="preserve">：常见的初始化方法包括随机选择、多次运行选取最小SSE簇集、使用层次聚类提取质心，或使用离散质心法（但可能选中离群点且计算开销大）。 </w:t>
      </w:r>
    </w:p>
    <w:p w14:paraId="3C3C52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(3)</w:t>
      </w:r>
      <w:r>
        <w:rPr>
          <w:rFonts w:hint="eastAsia" w:ascii="宋体" w:hAnsi="宋体" w:eastAsia="宋体" w:cs="宋体"/>
          <w:b/>
          <w:bCs/>
        </w:rPr>
        <w:t>算法挑战与建议</w:t>
      </w:r>
      <w:r>
        <w:rPr>
          <w:rFonts w:hint="eastAsia" w:ascii="宋体" w:hAnsi="宋体" w:eastAsia="宋体" w:cs="宋体"/>
        </w:rPr>
        <w:t xml:space="preserve">：理解 K-means 对初始质心敏感、对异常值敏感、需要预先设定 K值等局限，并能给出优化建议。 </w:t>
      </w:r>
    </w:p>
    <w:p w14:paraId="2E50AE2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2、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</w:rPr>
        <w:t>K-Medoids 算法</w:t>
      </w:r>
      <w:r>
        <w:rPr>
          <w:rFonts w:hint="eastAsia" w:ascii="宋体" w:hAnsi="宋体" w:eastAsia="宋体" w:cs="宋体"/>
        </w:rPr>
        <w:t>：</w:t>
      </w:r>
    </w:p>
    <w:p w14:paraId="690D02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 K-Means 的横向对比：从样本点中选取实际的中心点，新质心标准是使簇的绝对误差和最小；对噪声和极端值更鲁棒，但时间复杂度通常比 K-Means 更高。</w:t>
      </w:r>
    </w:p>
    <w:p w14:paraId="1B97A1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8A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2026-06-26T09:36:52Z</dcterms:created>
  <dc:creator>li</dc:creator>
  <cp:lastModifiedBy>微信用户</cp:lastModifiedBy>
  <dcterms:modified xsi:type="dcterms:W3CDTF">2026-06-26T09:50:45Z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eyJoZGlkIjoiNTJhZjAzMzRmMzcxNjA3YmZlYjJlYjEyMDMwNzQ2ZWIiLCJ1c2VySWQiOiIxMzEyNTQ3NjE3In0=</vt:lpwstr>
  </property>
  <property fmtid="{D5CDD505-2E9C-101B-9397-08002B2CF9AE}" pid="4" name="ICV">
    <vt:lpwstr>4E3835FCBDE246A6B60FC56300CD587B_12</vt:lpwstr>
  </property>
</Properties>
</file>