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1"/>
        </w:rPr>
        <w:t>Se escriben los identificadores concretos de los defectos que reportó y que reprodujo cada integrante. Cada defecto lo reprodujo el integrante que no lo reportó, siguiendo solo lo que dice su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reprodujo</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rPr>
          <w:cantSplit w:val="true"/>
        </w:trP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rPr>
          <w:cantSplit w:val="true"/>
        </w:trP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r>
        <w:br w:type="page"/>
      </w:r>
    </w:p>
    <w:p>
      <w:pPr>
        <w:pStyle w:val="Heading1"/>
      </w:pPr>
      <w:r>
        <w:t>1. Propósito y alcance</w:t>
      </w:r>
    </w:p>
    <w:p>
      <w:pPr>
        <w:spacing w:after="120"/>
      </w:pPr>
      <w:r>
        <w:rPr>
          <w:b w:val="0"/>
          <w:i w:val="0"/>
          <w:sz w:val="22"/>
        </w:rPr>
        <w:t>Encontrar un defecto es la mitad del trabajo; la otra mitad es escribirlo de modo que otra persona, que no estaba ahí y no conoce el sistema, pueda reproducirlo y corregirlo. Esta tarea presenta ocho de los catorce defectos del Entregable 2 con el formato profesional completo,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Cada defecto se reprodujo por el integrante que no lo reportó, usando solo los pasos escritos, y la ejecución se automatizó con Playwright para que cualquiera pueda volver a correrla.</w:t>
            </w:r>
          </w:p>
        </w:tc>
      </w:tr>
    </w:tbl>
    <w:p>
      <w:pPr>
        <w:spacing w:after="40"/>
      </w:pPr>
      <w:r>
        <w:rPr>
          <w:b/>
          <w:i w:val="0"/>
          <w:sz w:val="22"/>
        </w:rPr>
        <w:t>Cómo se ejecutaron las pruebas.</w:t>
      </w:r>
    </w:p>
    <w:p>
      <w:pPr>
        <w:spacing w:after="120"/>
      </w:pPr>
      <w:r>
        <w:rPr>
          <w:b w:val="0"/>
          <w:i w:val="0"/>
          <w:sz w:val="21"/>
        </w:rPr>
        <w:t>Las acciones de interfaz se hicieron conduciendo la aplicación real; las de la capa del servidor se hicieron con peticiones escritas en la consola del navegador (F12), usando el token de la sesión, tal como pide la guía. Cada reporte trae su evidencia nombrada con el identificador del defecto.</w:t>
      </w:r>
    </w:p>
    <w:p>
      <w:r>
        <w:br w:type="page"/>
      </w:r>
    </w:p>
    <w:p>
      <w:pPr>
        <w:pStyle w:val="Heading1"/>
      </w:pPr>
      <w:r>
        <w:t>2. Resumen de los ocho defectos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bl>
    <w:p>
      <w:pPr>
        <w:spacing w:after="120"/>
      </w:pPr>
      <w:r>
        <w:rPr>
          <w:b w:val="0"/>
          <w:i w:val="0"/>
          <w:sz w:val="21"/>
        </w:rPr>
        <w:t>Los ocho cubren seis requisitos distintos (R2/RNF02, R4, R5, R6, R7 y R8/transversal),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El análisis de riesgos del Entregable 1 apuntó donde debía: R5 era el riesgo más alto de la matriz (R-03, nivel 15) y concentra cuatro defectos, incluido el único crítico. R6, que habíamos calificado como riesgo medio (R-11), aportó un defecto de severidad alta (DEF-08). Lo que la matriz no vio fueron dos riesgos transversales: la zona horaria (DEF-08 y DEF-12 comparten causa, el servidor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Conclusión (cinco líneas). La matriz de riesgos acertó en los requisitos: donde predijo más riesgo (R5, R-03) es donde más defectos aparecieron, y el análisis llevó a probar primero esos caminos.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1"/>
        </w:rPr>
        <w:t>De los ocho, estos tres impedirían liberar el producto:</w:t>
      </w:r>
    </w:p>
    <w:p>
      <w:pPr>
        <w:spacing w:after="120"/>
      </w:pPr>
      <w:r>
        <w:rPr>
          <w:b w:val="0"/>
          <w:i w:val="0"/>
          <w:sz w:val="21"/>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1"/>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1"/>
        </w:rPr>
        <w:t>DEF-13 (mensajes emergentes que nunca se ven, prioridad alta, transversal). El servidor acepta o rechaza bien cada acción, pero el usuario no recibe ninguna confirmación ni error en pantalla. Afecta todas las pantallas y deja al usuario sin saber por qué se rechaza lo que intenta; sin esa respuesta visible, varias reglas de negocio quedan invisibles para quien usa el sistema.</w:t>
      </w:r>
    </w:p>
    <w:p>
      <w:r>
        <w:br w:type="page"/>
      </w:r>
    </w:p>
    <w:p>
      <w:pPr>
        <w:pStyle w:val="Heading1"/>
      </w:pPr>
      <w:r>
        <w:t>4. Reportes completos de los ocho defectos</w:t>
      </w:r>
    </w:p>
    <w:p>
      <w:pPr>
        <w:spacing w:after="120"/>
      </w:pPr>
      <w:r>
        <w:rPr>
          <w:b w:val="0"/>
          <w:i/>
          <w:sz w:val="20"/>
        </w:rPr>
        <w:t>Entorno común: Chromium 141.0.7390.37 · Linux · ConectaProfe en copia local del commit 693358a, la misma versión desplegada en Railway · ejecución automatizada con Playwright el 07/10/2026. Cuentas de semilla con contraseña «123456». Las capturas de cada reporte están en el Anexo G (y las de consola en el Anexo F), con el número de figura que se cita en el campo «Evidencia».</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 (Anexo G, figuras 8 a 10)</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19:10) se crea: POST → 200 {"mensaje":"Asesoría creada. Se notificó a Sandra Ríos Montoya y a Camilo Ríos Zapata.","tutoria_id":6}. Aparece en «Sesiones Programadas».</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 (Anexo G, figura 11)</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#16 se canceló (estado «cancelada»). El docente ejecutó PATCH /api/tutorias/16/realizada: respuesta {"mensaje":"Tutoría completada"} y la tutoría quedó en «completada». Una tutoría cancelada no debería admitir nuevas transiciones.</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 EV-DEF06-C1-02.png, EV-DEF06-C1-03.png (Anexo G, figuras 12 a 14); EV-DEF06-CONSOLA.png (Anexo F, figura 5, consola F12)</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 (Anexo G, figura 15)</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19:12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 (Anexo G, figura 16)</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 (Anexo G, figuras 17 a 19)</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 EV-CP024-C1-01.png (Anexo G, figuras 20 a 21); EV-DEF13-CONSOLA.png (Anexo F, figura 7, consola F12)</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 EV-DEF14-C1-02.png (Anexo G, figuras 22 a 23)</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C. Matriz de reproducción cruzada</w:t>
      </w:r>
    </w:p>
    <w:p>
      <w:pPr>
        <w:spacing w:after="120"/>
      </w:pPr>
      <w:r>
        <w:rPr>
          <w:b w:val="0"/>
          <w:i w:val="0"/>
          <w:sz w:val="21"/>
        </w:rPr>
        <w:t>Cada defecto lo reprodujo un integrante distinto del que lo reportó, siguiendo únicamente lo que dice el reporte. Todos se reprodujeron sin ayuda.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7"/>
              </w:rPr>
              <w:t>Defecto</w:t>
            </w:r>
          </w:p>
        </w:tc>
        <w:tc>
          <w:tcPr>
            <w:tcW w:type="dxa" w:w="2154"/>
            <w:shd w:val="clear" w:color="auto" w:fill="0F766E"/>
            <w:tcMar>
              <w:top w:w="40" w:type="dxa"/>
              <w:bottom w:w="40" w:type="dxa"/>
              <w:start w:w="80" w:type="dxa"/>
              <w:end w:w="80" w:type="dxa"/>
            </w:tcMar>
          </w:tcPr>
          <w:p>
            <w:pPr>
              <w:jc w:val="center"/>
            </w:pPr>
            <w:r/>
            <w:r>
              <w:rPr>
                <w:b/>
                <w:color w:val="FFFFFF"/>
                <w:sz w:val="17"/>
              </w:rPr>
              <w:t>Reportado por</w:t>
            </w:r>
          </w:p>
        </w:tc>
        <w:tc>
          <w:tcPr>
            <w:tcW w:type="dxa" w:w="2154"/>
            <w:shd w:val="clear" w:color="auto" w:fill="0F766E"/>
            <w:tcMar>
              <w:top w:w="40" w:type="dxa"/>
              <w:bottom w:w="40" w:type="dxa"/>
              <w:start w:w="80" w:type="dxa"/>
              <w:end w:w="80" w:type="dxa"/>
            </w:tcMar>
          </w:tcPr>
          <w:p>
            <w:pPr>
              <w:jc w:val="center"/>
            </w:pPr>
            <w:r/>
            <w:r>
              <w:rPr>
                <w:b/>
                <w:color w:val="FFFFFF"/>
                <w:sz w:val="17"/>
              </w:rPr>
              <w:t>Reproducido por</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835"/>
            <w:shd w:val="clear" w:color="auto" w:fill="0F766E"/>
            <w:tcMar>
              <w:top w:w="40" w:type="dxa"/>
              <w:bottom w:w="40" w:type="dxa"/>
              <w:start w:w="80" w:type="dxa"/>
              <w:end w:w="80" w:type="dxa"/>
            </w:tcMar>
          </w:tcPr>
          <w:p>
            <w:pPr>
              <w:jc w:val="center"/>
            </w:pPr>
            <w:r/>
            <w:r>
              <w:rPr>
                <w:b/>
                <w:color w:val="FFFFFF"/>
                <w:sz w:val="17"/>
              </w:rPr>
              <w:t>Qué se observó</w:t>
            </w:r>
          </w:p>
        </w:tc>
      </w:tr>
      <w:tr>
        <w:trPr>
          <w:cantSplit w:val="true"/>
        </w:trPr>
        <w:tc>
          <w:tcPr>
            <w:tcW w:type="dxa" w:w="907"/>
            <w:tcMar>
              <w:top w:w="40" w:type="dxa"/>
              <w:bottom w:w="40" w:type="dxa"/>
              <w:start w:w="80" w:type="dxa"/>
              <w:end w:w="80" w:type="dxa"/>
            </w:tcMar>
          </w:tcPr>
          <w:p>
            <w:r/>
            <w:r>
              <w:rPr>
                <w:b w:val="0"/>
                <w:sz w:val="17"/>
              </w:rPr>
              <w:t>DEF-01</w:t>
            </w:r>
          </w:p>
        </w:tc>
        <w:tc>
          <w:tcPr>
            <w:tcW w:type="dxa" w:w="2154"/>
            <w:tcMar>
              <w:top w:w="40" w:type="dxa"/>
              <w:bottom w:w="40" w:type="dxa"/>
              <w:start w:w="80" w:type="dxa"/>
              <w:end w:w="80" w:type="dxa"/>
            </w:tcMar>
          </w:tcPr>
          <w:p>
            <w:r/>
            <w:r>
              <w:rPr>
                <w:b w:val="0"/>
                <w:sz w:val="17"/>
              </w:rPr>
              <w:t>Esteban Palencia</w:t>
            </w:r>
          </w:p>
        </w:tc>
        <w:tc>
          <w:tcPr>
            <w:tcW w:type="dxa" w:w="2154"/>
            <w:tcMar>
              <w:top w:w="40" w:type="dxa"/>
              <w:bottom w:w="40" w:type="dxa"/>
              <w:start w:w="80" w:type="dxa"/>
              <w:end w:w="80" w:type="dxa"/>
            </w:tcMar>
          </w:tcPr>
          <w:p>
            <w:r/>
            <w:r>
              <w:rPr>
                <w:b w:val="0"/>
                <w:sz w:val="17"/>
              </w:rPr>
              <w:t>Sebastián González González</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shd w:val="clear" w:color="auto" w:fill="F3F4F6"/>
            <w:tcMar>
              <w:top w:w="40" w:type="dxa"/>
              <w:bottom w:w="40" w:type="dxa"/>
              <w:start w:w="80" w:type="dxa"/>
              <w:end w:w="80" w:type="dxa"/>
            </w:tcMar>
          </w:tcPr>
          <w:p>
            <w:r/>
            <w:r>
              <w:rPr>
                <w:b w:val="0"/>
                <w:sz w:val="17"/>
              </w:rPr>
              <w:t>DEF-02</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tcMar>
              <w:top w:w="40" w:type="dxa"/>
              <w:bottom w:w="40" w:type="dxa"/>
              <w:start w:w="80" w:type="dxa"/>
              <w:end w:w="80" w:type="dxa"/>
            </w:tcMar>
          </w:tcPr>
          <w:p>
            <w:r/>
            <w:r>
              <w:rPr>
                <w:b w:val="0"/>
                <w:sz w:val="17"/>
              </w:rPr>
              <w:t>DEF-06</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shd w:val="clear" w:color="auto" w:fill="F3F4F6"/>
            <w:tcMar>
              <w:top w:w="40" w:type="dxa"/>
              <w:bottom w:w="40" w:type="dxa"/>
              <w:start w:w="80" w:type="dxa"/>
              <w:end w:w="80" w:type="dxa"/>
            </w:tcMar>
          </w:tcPr>
          <w:p>
            <w:r/>
            <w:r>
              <w:rPr>
                <w:b w:val="0"/>
                <w:sz w:val="17"/>
              </w:rPr>
              <w:t>DEF-07</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tcMar>
              <w:top w:w="40" w:type="dxa"/>
              <w:bottom w:w="40" w:type="dxa"/>
              <w:start w:w="80" w:type="dxa"/>
              <w:end w:w="80" w:type="dxa"/>
            </w:tcMar>
          </w:tcPr>
          <w:p>
            <w:r/>
            <w:r>
              <w:rPr>
                <w:b w:val="0"/>
                <w:sz w:val="17"/>
              </w:rPr>
              <w:t>DEF-08</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shd w:val="clear" w:color="auto" w:fill="F3F4F6"/>
            <w:tcMar>
              <w:top w:w="40" w:type="dxa"/>
              <w:bottom w:w="40" w:type="dxa"/>
              <w:start w:w="80" w:type="dxa"/>
              <w:end w:w="80" w:type="dxa"/>
            </w:tcMar>
          </w:tcPr>
          <w:p>
            <w:r/>
            <w:r>
              <w:rPr>
                <w:b w:val="0"/>
                <w:sz w:val="17"/>
              </w:rPr>
              <w:t>DEF-11</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2154"/>
            <w:shd w:val="clear" w:color="auto" w:fill="F3F4F6"/>
            <w:tcMar>
              <w:top w:w="40" w:type="dxa"/>
              <w:bottom w:w="40" w:type="dxa"/>
              <w:start w:w="80" w:type="dxa"/>
              <w:end w:w="80" w:type="dxa"/>
            </w:tcMar>
          </w:tcPr>
          <w:p>
            <w:r/>
            <w:r>
              <w:rPr>
                <w:b w:val="0"/>
                <w:sz w:val="17"/>
              </w:rPr>
              <w:t>Esteban Palencia</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tcMar>
              <w:top w:w="40" w:type="dxa"/>
              <w:bottom w:w="40" w:type="dxa"/>
              <w:start w:w="80" w:type="dxa"/>
              <w:end w:w="80" w:type="dxa"/>
            </w:tcMar>
          </w:tcPr>
          <w:p>
            <w:r/>
            <w:r>
              <w:rPr>
                <w:b w:val="0"/>
                <w:sz w:val="17"/>
              </w:rPr>
              <w:t>DEF-13</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rPr>
          <w:cantSplit w:val="true"/>
        </w:trPr>
        <w:tc>
          <w:tcPr>
            <w:tcW w:type="dxa" w:w="907"/>
            <w:shd w:val="clear" w:color="auto" w:fill="F3F4F6"/>
            <w:tcMar>
              <w:top w:w="40" w:type="dxa"/>
              <w:bottom w:w="40" w:type="dxa"/>
              <w:start w:w="80" w:type="dxa"/>
              <w:end w:w="80" w:type="dxa"/>
            </w:tcMar>
          </w:tcPr>
          <w:p>
            <w:r/>
            <w:r>
              <w:rPr>
                <w:b w:val="0"/>
                <w:sz w:val="17"/>
              </w:rPr>
              <w:t>DEF-14</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bl>
    <w:p>
      <w:pPr>
        <w:pStyle w:val="Heading1"/>
      </w:pPr>
      <w:r>
        <w:t>Anexo D. Escalas de severidad y prioridad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rPr>
          <w:cantSplit w:val="true"/>
        </w:trP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rPr>
          <w:cantSplit w:val="true"/>
        </w:trP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rPr>
          <w:cantSplit w:val="true"/>
        </w:trP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rPr>
          <w:cantSplit w:val="true"/>
        </w:trP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1"/>
        </w:rPr>
        <w:t>Prioridad. Dice qué tan pronto conviene corregir el defecto y puede no coincidir con la severidad: en seis de los ocho reportes difieren, y en cada uno se justifica por separado.</w:t>
      </w:r>
    </w:p>
    <w:p>
      <w:pPr>
        <w:pStyle w:val="Heading1"/>
      </w:pPr>
      <w:r>
        <w:t>Anexo E. Lista de verificación de cada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249"/>
        <w:gridCol w:w="3249"/>
        <w:gridCol w:w="3249"/>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794"/>
            <w:shd w:val="clear" w:color="auto" w:fill="0F766E"/>
            <w:tcMar>
              <w:top w:w="40" w:type="dxa"/>
              <w:bottom w:w="40" w:type="dxa"/>
              <w:start w:w="80" w:type="dxa"/>
              <w:end w:w="80" w:type="dxa"/>
            </w:tcMar>
          </w:tcPr>
          <w:p>
            <w:pPr>
              <w:jc w:val="center"/>
            </w:pPr>
            <w:r/>
            <w:r>
              <w:rPr>
                <w:b/>
                <w:color w:val="FFFFFF"/>
                <w:sz w:val="18"/>
              </w:rPr>
              <w:t>✓</w:t>
            </w:r>
          </w:p>
        </w:tc>
      </w:tr>
      <w:tr>
        <w:trPr>
          <w:cantSplit w:val="true"/>
        </w:trP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794"/>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794"/>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794"/>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794"/>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794"/>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794"/>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794"/>
            <w:shd w:val="clear" w:color="auto" w:fill="F3F4F6"/>
            <w:tcMar>
              <w:top w:w="40" w:type="dxa"/>
              <w:bottom w:w="40" w:type="dxa"/>
              <w:start w:w="80" w:type="dxa"/>
              <w:end w:w="80" w:type="dxa"/>
            </w:tcMar>
          </w:tcPr>
          <w:p>
            <w:r/>
            <w:r>
              <w:rPr>
                <w:b w:val="0"/>
                <w:sz w:val="18"/>
              </w:rPr>
              <w:t>Sí</w:t>
            </w:r>
          </w:p>
        </w:tc>
      </w:tr>
    </w:tbl>
    <w:p>
      <w:pPr>
        <w:pStyle w:val="Heading1"/>
      </w:pPr>
      <w:r>
        <w:t>Anexo F. Pruebas por consola del navegador (F12)</w:t>
      </w:r>
    </w:p>
    <w:p>
      <w:pPr>
        <w:spacing w:after="120"/>
      </w:pPr>
      <w:r>
        <w:rPr>
          <w:b w:val="0"/>
          <w:i w:val="0"/>
          <w:sz w:val="22"/>
        </w:rPr>
        <w:t>Estas son las verificaciones que se hacen desde la consola del navegador (F12). Casi todas pegan un fetch() con el token de la sesión y prueban la capa del servidor directamente —control de acceso por rol, datos inexistentes y validaciones que el formulario no deja disparar—; la de DEF-13 inspecciona el elemento del mensaje emergente para ver lo que la pantalla no muestra. Van con el comando exacto para copiar y pegar y, debajo, la captura de la consola tal como quedó. Las rutas son relativas, así que sirven igual en localhost y en Railway; en la sustentación cualquiera del equipo puede reproducirlas en vivo.</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 (figura 2, debajo)</w:t>
            </w:r>
          </w:p>
        </w:tc>
      </w:tr>
    </w:tbl>
    <w:p>
      <w:pPr>
        <w:keepNext/>
        <w:spacing w:before="80" w:after="40"/>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CP008-CONSOLA.jpg"/>
                    <pic:cNvPicPr/>
                  </pic:nvPicPr>
                  <pic:blipFill>
                    <a:blip r:embed="rId1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 </w:t>
      </w:r>
      <w:r>
        <w:rPr>
          <w:i/>
          <w:sz w:val="18"/>
        </w:rPr>
        <w:t>CP-008 · EV-CP008-CONSOLA.png. Consola F12 con el comando ejecutado y la respuesta: rechazo de registro con rol de administrador.</w:t>
      </w:r>
    </w:p>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 (figura 3, debajo)</w:t>
            </w:r>
          </w:p>
        </w:tc>
      </w:tr>
    </w:tbl>
    <w:p>
      <w:pPr>
        <w:keepNext/>
        <w:spacing w:before="80" w:after="4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EV-CP018-CONSOLA.jpg"/>
                    <pic:cNvPicPr/>
                  </pic:nvPicPr>
                  <pic:blipFill>
                    <a:blip r:embed="rId1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3. </w:t>
      </w:r>
      <w:r>
        <w:rPr>
          <w:i/>
          <w:sz w:val="18"/>
        </w:rPr>
        <w:t>CP-018 · EV-CP018-CONSOLA.png. Consola F12 con el comando ejecutado y la respuesta: un estudiante no puede guardar un perfil de docente.</w:t>
      </w:r>
    </w:p>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 (figura 4, debajo)</w:t>
            </w:r>
          </w:p>
        </w:tc>
      </w:tr>
    </w:tbl>
    <w:p>
      <w:pPr>
        <w:keepNext/>
        <w:spacing w:before="80" w:after="4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EV-CP021-CONSOLA.jpg"/>
                    <pic:cNvPicPr/>
                  </pic:nvPicPr>
                  <pic:blipFill>
                    <a:blip r:embed="rId13"/>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4. </w:t>
      </w:r>
      <w:r>
        <w:rPr>
          <w:i/>
          <w:sz w:val="18"/>
        </w:rPr>
        <w:t>CP-021 · EV-CP021-CONSOLA.png. Consola F12 con el comando ejecutado y la respuesta: rechazo de tutoría con docente inexistente.</w:t>
      </w:r>
    </w:p>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fetch("/api/tutorias/19/realizada",{method:"PATCH",headers:{Authorization:"Bearer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 (figura 5, debajo)</w:t>
            </w:r>
          </w:p>
        </w:tc>
      </w:tr>
    </w:tbl>
    <w:p>
      <w:pPr>
        <w:keepNext/>
        <w:spacing w:before="80" w:after="4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EV-DEF06-CONSOLA.jpg"/>
                    <pic:cNvPicPr/>
                  </pic:nvPicPr>
                  <pic:blipFill>
                    <a:blip r:embed="rId14"/>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5. </w:t>
      </w:r>
      <w:r>
        <w:rPr>
          <w:i/>
          <w:sz w:val="18"/>
        </w:rPr>
        <w:t>DEF-06 · EV-DEF06-CONSOLA.png. Consola F12 con el comando ejecutado y la respuesta: una tutoría cancelada se marca «completada» por la api.</w:t>
      </w:r>
    </w:p>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20}: acepta la fecha «2027-13-45» y la hora «25:99» sin validar que existan.</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 (figura 6, debajo)</w:t>
            </w:r>
          </w:p>
        </w:tc>
      </w:tr>
    </w:tbl>
    <w:p>
      <w:pPr>
        <w:keepNext/>
        <w:spacing w:before="80" w:after="4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EV-DEF10-CONSOLA.jpg"/>
                    <pic:cNvPicPr/>
                  </pic:nvPicPr>
                  <pic:blipFill>
                    <a:blip r:embed="rId15"/>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6. </w:t>
      </w:r>
      <w:r>
        <w:rPr>
          <w:i/>
          <w:sz w:val="18"/>
        </w:rPr>
        <w:t>DEF-10 · EV-DEF10-CONSOLA.png. Consola F12 con el comando ejecutado y la respuesta: la api guarda tutorías con fechas y horas que no existen.</w:t>
      </w:r>
    </w:p>
    <w:p/>
    <w:p>
      <w:pPr>
        <w:pStyle w:val="Heading3"/>
      </w:pPr>
      <w:r>
        <w:t>DEF-13 · Los mensajes emergentes se generan pero nunca se ven</w:t>
      </w:r>
    </w:p>
    <w:p>
      <w:pPr>
        <w:spacing w:after="60"/>
      </w:pPr>
      <w:r>
        <w:rPr>
          <w:b w:val="0"/>
          <w:i w:val="0"/>
          <w:sz w:val="21"/>
        </w:rPr>
        <w:t>Justo después de una acción que muestra un mensaje (cancelar una tutoría con menos de 24 horas), se inspecciona el elemento #tostada desde la consola, que es el paso 3 del reporte.</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const t = document.getElementById("tostada");</w:t>
            </w:r>
          </w:p>
          <w:p>
            <w:pPr>
              <w:spacing w:after="0" w:line="240" w:lineRule="auto"/>
            </w:pPr>
            <w:r>
              <w:rPr>
                <w:rFonts w:ascii="Consolas" w:hAnsi="Consolas"/>
                <w:color w:val="E8EAED"/>
                <w:sz w:val="18"/>
              </w:rPr>
              <w:t>console.log(t.textContent, "|", t.className,</w:t>
            </w:r>
          </w:p>
          <w:p>
            <w:pPr>
              <w:spacing w:after="0" w:line="240" w:lineRule="auto"/>
            </w:pPr>
            <w:r>
              <w:rPr>
                <w:rFonts w:ascii="Consolas" w:hAnsi="Consolas"/>
                <w:color w:val="E8EAED"/>
                <w:sz w:val="18"/>
              </w:rPr>
              <w:t xml:space="preserve">  "| opacidad:", getComputedStyle(t).opacity)</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RF028 · transversal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mensaje emergente se ve en pantalla (opacidad 1) y después desaparece solo.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imprime «Faltan 7h para la tutoría y se requieren 24h de anticipación para cancelar (RN03). Escríbele al docente. | tostada tostada--visible tostada--error | opacidad: 0». El elemento tiene el mensaje y la clase «tostada--visible», pero la hoja de estilos solo define «.tostada.visible»; por eso la opacidad se queda en 0 y en pantalla no aparece nada.</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 (inspección del elemento, sin petición al servidor)</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EV-DEF13-CONSOLA.png (figura 7, debajo)</w:t>
            </w:r>
          </w:p>
        </w:tc>
      </w:tr>
    </w:tbl>
    <w:p>
      <w:pPr>
        <w:keepNext/>
        <w:spacing w:before="80" w:after="4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EV-DEF13-CONSOLA.jpg"/>
                    <pic:cNvPicPr/>
                  </pic:nvPicPr>
                  <pic:blipFill>
                    <a:blip r:embed="rId16"/>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7. </w:t>
      </w:r>
      <w:r>
        <w:rPr>
          <w:i/>
          <w:sz w:val="18"/>
        </w:rPr>
        <w:t>DEF-13 · EV-DEF13-CONSOLA.png. Consola F12 con el comando ejecutado y la respuesta: los mensajes emergentes se generan pero nunca se ven.</w:t>
      </w:r>
    </w:p>
    <w:p/>
    <w:p>
      <w:r>
        <w:br w:type="page"/>
      </w:r>
    </w:p>
    <w:p>
      <w:pPr>
        <w:pStyle w:val="Heading1"/>
      </w:pPr>
      <w:r>
        <w:t>Anexo G. Evidencia de los ocho defectos</w:t>
      </w:r>
    </w:p>
    <w:p>
      <w:pPr>
        <w:spacing w:after="120"/>
      </w:pPr>
      <w:r>
        <w:rPr>
          <w:b w:val="0"/>
          <w:i w:val="0"/>
          <w:sz w:val="21"/>
        </w:rPr>
        <w:t>Las capturas que cita el campo «Evidencia» de cada reporte, en el mismo orden de la sección 4. Cada una lleva estampado el caso o defecto, el ciclo, la URL, la hora de Colombia y el navegador. Las capturas de consola de DEF-06 y DEF-13 están en el Anexo F.</w:t>
      </w:r>
    </w:p>
    <w:p>
      <w:pPr>
        <w:pStyle w:val="Heading3"/>
      </w:pPr>
      <w:r>
        <w:t>DEF-01 · La sesión sigue abierta después de 16 minutos sin actividad; solo se cierra a las 2 horas, y únicamente al recargar</w:t>
      </w:r>
    </w:p>
    <w:p>
      <w:pPr>
        <w:keepNext/>
        <w:spacing w:before="80" w:after="4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EV-CP034-C1-01.jpg"/>
                    <pic:cNvPicPr/>
                  </pic:nvPicPr>
                  <pic:blipFill>
                    <a:blip r:embed="rId17"/>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8. </w:t>
      </w:r>
      <w:r>
        <w:rPr>
          <w:i/>
          <w:sz w:val="18"/>
        </w:rPr>
        <w:t>DEF-01 · EV-CP034-C1-01.png. Inicio: sesión de sgarcia abierta</w:t>
      </w:r>
    </w:p>
    <w:p>
      <w:pPr>
        <w:keepNext/>
        <w:spacing w:before="80" w:after="40"/>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EV-CP034-C1-02.jpg"/>
                    <pic:cNvPicPr/>
                  </pic:nvPicPr>
                  <pic:blipFill>
                    <a:blip r:embed="rId18"/>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9. </w:t>
      </w:r>
      <w:r>
        <w:rPr>
          <w:i/>
          <w:sz w:val="18"/>
        </w:rPr>
        <w:t>DEF-01 · EV-CP034-C1-02.png. 16 min sin actividad: sigue en el panel; token presente</w:t>
      </w:r>
    </w:p>
    <w:p>
      <w:pPr>
        <w:keepNext/>
        <w:spacing w:before="80" w:after="40"/>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EV-CP034-C1-03.jpg"/>
                    <pic:cNvPicPr/>
                  </pic:nvPicPr>
                  <pic:blipFill>
                    <a:blip r:embed="rId19"/>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10. </w:t>
      </w:r>
      <w:r>
        <w:rPr>
          <w:i/>
          <w:sz w:val="18"/>
        </w:rPr>
        <w:t>DEF-01 · EV-CP034-C1-03.png. Después de «Programar Tutoría» y recargar: panel con la sesión activa</w:t>
      </w:r>
    </w:p>
    <w:p>
      <w:pPr>
        <w:pStyle w:val="Heading3"/>
      </w:pPr>
      <w:r>
        <w:t>DEF-02 · El administrador programa una asesoría con fecha de hoy, y por la API también con fechas pasadas</w:t>
      </w:r>
    </w:p>
    <w:p>
      <w:pPr>
        <w:keepNext/>
        <w:spacing w:before="80" w:after="40"/>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EV-CP032-C1-01.jpg"/>
                    <pic:cNvPicPr/>
                  </pic:nvPicPr>
                  <pic:blipFill>
                    <a:blip r:embed="rId20"/>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11. </w:t>
      </w:r>
      <w:r>
        <w:rPr>
          <w:i/>
          <w:sz w:val="18"/>
        </w:rPr>
        <w:t>DEF-02 · EV-CP032-C1-01.png. Asesoría Sandra Ríos + Camilo Ríos, 07/10/2026 19:10 → 200</w:t>
      </w:r>
    </w:p>
    <w:p>
      <w:pPr>
        <w:pStyle w:val="Heading3"/>
      </w:pPr>
      <w:r>
        <w:t>DEF-06 · Una tutoría cancelada pasa a «completada» si el docente la marca como realizada por la API</w:t>
      </w:r>
    </w:p>
    <w:p>
      <w:pPr>
        <w:keepNext/>
        <w:spacing w:before="80" w:after="40"/>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EV-DEF06-C1-01.jpg"/>
                    <pic:cNvPicPr/>
                  </pic:nvPicPr>
                  <pic:blipFill>
                    <a:blip r:embed="rId2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12. </w:t>
      </w:r>
      <w:r>
        <w:rPr>
          <w:i/>
          <w:sz w:val="18"/>
        </w:rPr>
        <w:t>DEF-06 · EV-DEF06-C1-01.png. Antes: la tutoría #16 aparece «Cancelada» en el panel de la docente</w:t>
      </w:r>
    </w:p>
    <w:p>
      <w:pPr>
        <w:keepNext/>
        <w:spacing w:before="80" w:after="40"/>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EV-DEF06-C1-02.jpg"/>
                    <pic:cNvPicPr/>
                  </pic:nvPicPr>
                  <pic:blipFill>
                    <a:blip r:embed="rId2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13. </w:t>
      </w:r>
      <w:r>
        <w:rPr>
          <w:i/>
          <w:sz w:val="18"/>
        </w:rPr>
        <w:t>DEF-06 · EV-DEF06-C1-02.png. Consola F12: Sesión de mgonzalez@amigo.edu.co (docente). La tutoría #16 estaba cancelada</w:t>
      </w:r>
    </w:p>
    <w:p>
      <w:pPr>
        <w:keepNext/>
        <w:spacing w:before="80" w:after="40"/>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EV-DEF06-C1-03.jpg"/>
                    <pic:cNvPicPr/>
                  </pic:nvPicPr>
                  <pic:blipFill>
                    <a:blip r:embed="rId23"/>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14. </w:t>
      </w:r>
      <w:r>
        <w:rPr>
          <w:i/>
          <w:sz w:val="18"/>
        </w:rPr>
        <w:t>DEF-06 · EV-DEF06-C1-03.png. Después de PATCH /realizada (200 {"mensaje":"Tutoría completada"}): la misma tutoría #16 queda «completada»</w:t>
      </w:r>
    </w:p>
    <w:p>
      <w:pPr>
        <w:pStyle w:val="Heading3"/>
      </w:pPr>
      <w:r>
        <w:t>DEF-07 · Las contraseñas se ven en claro en «Nuevo usuario» y «Editar usuario», y la primera trae «Cambiar123» escrita</w:t>
      </w:r>
    </w:p>
    <w:p>
      <w:pPr>
        <w:keepNext/>
        <w:spacing w:before="80" w:after="40"/>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EV-DEF07-C1-01.jpg"/>
                    <pic:cNvPicPr/>
                  </pic:nvPicPr>
                  <pic:blipFill>
                    <a:blip r:embed="rId24"/>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15. </w:t>
      </w:r>
      <w:r>
        <w:rPr>
          <w:i/>
          <w:sz w:val="18"/>
        </w:rPr>
        <w:t>DEF-07 · EV-DEF07-C1-01.png. «Nuevo Usuario»: campo contraseña type="text" con el valor «Cambiar123». «Editar»: type="text" muestra «Prueba1234»</w:t>
      </w:r>
    </w:p>
    <w:p>
      <w:pPr>
        <w:pStyle w:val="Heading3"/>
      </w:pPr>
      <w:r>
        <w:t>DEF-08 · La regla de 24 horas para cancelar se calcula con 5 horas de diferencia: con 26 h de margen dice que faltan 21</w:t>
      </w:r>
    </w:p>
    <w:p>
      <w:pPr>
        <w:keepNext/>
        <w:spacing w:before="80" w:after="40"/>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EV-CP025-C1-01.jpg"/>
                    <pic:cNvPicPr/>
                  </pic:nvPicPr>
                  <pic:blipFill>
                    <a:blip r:embed="rId25"/>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16. </w:t>
      </w:r>
      <w:r>
        <w:rPr>
          <w:i/>
          <w:sz w:val="18"/>
        </w:rPr>
        <w:t>DEF-08 · EV-CP025-C1-01.png. Tutoría 08/10/2026 19:12 con Laura Vargas Suárez (margen real 26.0 h) → PATCH 400 · «Pendiente». El elemento #tostada tiene el texto «Faltan 21h para la tutoría y se requieren 24h de anticipación para cancelar (RN03). Escríbele al docente.» y las clases «tostada tostada--visible tostada--error», con opacidad calculada 0</w:t>
      </w:r>
    </w:p>
    <w:p>
      <w:pPr>
        <w:pStyle w:val="Heading3"/>
      </w:pPr>
      <w:r>
        <w:t>DEF-11 · El filtro «Activos» muestra cuentas inactivas y oculta a los estudiantes activos que están en alerta</w:t>
      </w:r>
    </w:p>
    <w:p>
      <w:pPr>
        <w:keepNext/>
        <w:spacing w:before="80" w:after="40"/>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EV-CP031-C1-01.jpg"/>
                    <pic:cNvPicPr/>
                  </pic:nvPicPr>
                  <pic:blipFill>
                    <a:blip r:embed="rId26"/>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17. </w:t>
      </w:r>
      <w:r>
        <w:rPr>
          <w:i/>
          <w:sz w:val="18"/>
        </w:rPr>
        <w:t>DEF-11 · EV-CP031-C1-01.png. Estudiantes + Activos + «»: 11 visibles, 15 esperados. Sobran: vosorio@amigo.edu.co. Faltan: perfil.c1@amigo.edu.co, lcano@amigo.edu.co, dmontoya@amigo.edu.co, malvarez@amigo.edu.co, lramirez@amigo.edu.co</w:t>
      </w:r>
    </w:p>
    <w:p>
      <w:pPr>
        <w:keepNext/>
        <w:spacing w:before="80" w:after="40"/>
        <w:jc w:val="center"/>
      </w:pPr>
      <w:r>
        <w:drawing>
          <wp:inline xmlns:a="http://schemas.openxmlformats.org/drawingml/2006/main" xmlns:pic="http://schemas.openxmlformats.org/drawingml/2006/picture">
            <wp:extent cx="5580000" cy="3138750"/>
            <wp:docPr id="18" name="Picture 18"/>
            <wp:cNvGraphicFramePr>
              <a:graphicFrameLocks noChangeAspect="1"/>
            </wp:cNvGraphicFramePr>
            <a:graphic>
              <a:graphicData uri="http://schemas.openxmlformats.org/drawingml/2006/picture">
                <pic:pic>
                  <pic:nvPicPr>
                    <pic:cNvPr id="0" name="EV-CP031-C1-02.jpg"/>
                    <pic:cNvPicPr/>
                  </pic:nvPicPr>
                  <pic:blipFill>
                    <a:blip r:embed="rId27"/>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18. </w:t>
      </w:r>
      <w:r>
        <w:rPr>
          <w:i/>
          <w:sz w:val="18"/>
        </w:rPr>
        <w:t>DEF-11 · EV-CP031-C1-02.png. Docentes + Inactivos + «Peña»: 0 visibles, 0 esperados</w:t>
      </w:r>
    </w:p>
    <w:p>
      <w:pPr>
        <w:keepNext/>
        <w:spacing w:before="80" w:after="40"/>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EV-CP031-C1-03.jpg"/>
                    <pic:cNvPicPr/>
                  </pic:nvPicPr>
                  <pic:blipFill>
                    <a:blip r:embed="rId28"/>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19. </w:t>
      </w:r>
      <w:r>
        <w:rPr>
          <w:i/>
          <w:sz w:val="18"/>
        </w:rPr>
        <w:t>DEF-11 · EV-CP031-C1-03.png. Administradores + Activos + «zzz»: 0 visibles, 0 esperados</w:t>
      </w:r>
    </w:p>
    <w:p>
      <w:pPr>
        <w:pStyle w:val="Heading3"/>
      </w:pPr>
      <w:r>
        <w:t>DEF-13 · Los mensajes emergentes se generan pero nunca se ven: el usuario no recibe confirmaciones ni errores</w:t>
      </w:r>
    </w:p>
    <w:p>
      <w:pPr>
        <w:keepNext/>
        <w:spacing w:before="80" w:after="40"/>
        <w:jc w:val="center"/>
      </w:pPr>
      <w:r>
        <w:drawing>
          <wp:inline xmlns:a="http://schemas.openxmlformats.org/drawingml/2006/main" xmlns:pic="http://schemas.openxmlformats.org/drawingml/2006/picture">
            <wp:extent cx="5580000" cy="3138750"/>
            <wp:docPr id="20" name="Picture 20"/>
            <wp:cNvGraphicFramePr>
              <a:graphicFrameLocks noChangeAspect="1"/>
            </wp:cNvGraphicFramePr>
            <a:graphic>
              <a:graphicData uri="http://schemas.openxmlformats.org/drawingml/2006/picture">
                <pic:pic>
                  <pic:nvPicPr>
                    <pic:cNvPr id="0" name="EV-CP016-C1-01.jpg"/>
                    <pic:cNvPicPr/>
                  </pic:nvPicPr>
                  <pic:blipFill>
                    <a:blip r:embed="rId29"/>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20. </w:t>
      </w:r>
      <w:r>
        <w:rPr>
          <w:i/>
          <w:sz w:val="18"/>
        </w:rPr>
        <w:t>DEF-13 · EV-CP016-C1-01.png. Perfil guardado → 200. El elemento #tostada tiene el texto «Perfil guardado correctamente» y las clases «tostada tostada--visible», con opacidad calculada 0</w:t>
      </w:r>
    </w:p>
    <w:p>
      <w:pPr>
        <w:keepNext/>
        <w:spacing w:before="80" w:after="40"/>
        <w:jc w:val="center"/>
      </w:pPr>
      <w:r>
        <w:drawing>
          <wp:inline xmlns:a="http://schemas.openxmlformats.org/drawingml/2006/main" xmlns:pic="http://schemas.openxmlformats.org/drawingml/2006/picture">
            <wp:extent cx="5580000" cy="3138750"/>
            <wp:docPr id="21" name="Picture 21"/>
            <wp:cNvGraphicFramePr>
              <a:graphicFrameLocks noChangeAspect="1"/>
            </wp:cNvGraphicFramePr>
            <a:graphic>
              <a:graphicData uri="http://schemas.openxmlformats.org/drawingml/2006/picture">
                <pic:pic>
                  <pic:nvPicPr>
                    <pic:cNvPr id="0" name="EV-CP024-C1-01.jpg"/>
                    <pic:cNvPicPr/>
                  </pic:nvPicPr>
                  <pic:blipFill>
                    <a:blip r:embed="rId30"/>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21. </w:t>
      </w:r>
      <w:r>
        <w:rPr>
          <w:i/>
          <w:sz w:val="18"/>
        </w:rPr>
        <w:t>DEF-13 · EV-CP024-C1-01.png. Tutoría 08/10/2026 05:12 con Juan Salazar Bedoya (margen real 12.0 h) → PATCH 400 · «Pendiente». El elemento #tostada tiene el texto «Faltan 7h para la tutoría y se requieren 24h de anticipación para cancelar (RN03). Escríbele al docente.» y las clases «tostada tostada--visible tostada--error», con opacidad calculada 0</w:t>
      </w:r>
    </w:p>
    <w:p>
      <w:pPr>
        <w:pStyle w:val="Heading3"/>
      </w:pPr>
      <w:r>
        <w:t>DEF-14 · El estudiante que deja vacío el promedio queda con 0 y recibe alertas académicas, aunque su panel dice «Sin alertas»</w:t>
      </w:r>
    </w:p>
    <w:p>
      <w:pPr>
        <w:keepNext/>
        <w:spacing w:before="80" w:after="40"/>
        <w:jc w:val="center"/>
      </w:pPr>
      <w:r>
        <w:drawing>
          <wp:inline xmlns:a="http://schemas.openxmlformats.org/drawingml/2006/main" xmlns:pic="http://schemas.openxmlformats.org/drawingml/2006/picture">
            <wp:extent cx="5580000" cy="3138750"/>
            <wp:docPr id="22" name="Picture 22"/>
            <wp:cNvGraphicFramePr>
              <a:graphicFrameLocks noChangeAspect="1"/>
            </wp:cNvGraphicFramePr>
            <a:graphic>
              <a:graphicData uri="http://schemas.openxmlformats.org/drawingml/2006/picture">
                <pic:pic>
                  <pic:nvPicPr>
                    <pic:cNvPr id="0" name="EV-DEF14-C1-01.jpg"/>
                    <pic:cNvPicPr/>
                  </pic:nvPicPr>
                  <pic:blipFill>
                    <a:blip r:embed="rId3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22. </w:t>
      </w:r>
      <w:r>
        <w:rPr>
          <w:i/>
          <w:sz w:val="18"/>
        </w:rPr>
        <w:t>DEF-14 · EV-DEF14-C1-01.png. Promedio guardado en la base: 0. El panel del estudiante dice «Sin alertas»</w:t>
      </w:r>
    </w:p>
    <w:p>
      <w:pPr>
        <w:keepNext/>
        <w:spacing w:before="80" w:after="40"/>
        <w:jc w:val="center"/>
      </w:pPr>
      <w:r>
        <w:drawing>
          <wp:inline xmlns:a="http://schemas.openxmlformats.org/drawingml/2006/main" xmlns:pic="http://schemas.openxmlformats.org/drawingml/2006/picture">
            <wp:extent cx="5580000" cy="3138750"/>
            <wp:docPr id="23" name="Picture 23"/>
            <wp:cNvGraphicFramePr>
              <a:graphicFrameLocks noChangeAspect="1"/>
            </wp:cNvGraphicFramePr>
            <a:graphic>
              <a:graphicData uri="http://schemas.openxmlformats.org/drawingml/2006/picture">
                <pic:pic>
                  <pic:nvPicPr>
                    <pic:cNvPr id="0" name="EV-DEF14-C1-02.jpg"/>
                    <pic:cNvPicPr/>
                  </pic:nvPicPr>
                  <pic:blipFill>
                    <a:blip r:embed="rId3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23. </w:t>
      </w:r>
      <w:r>
        <w:rPr>
          <w:i/>
          <w:sz w:val="18"/>
        </w:rPr>
        <w:t>DEF-14 · EV-DEF14-C1-02.png. Campana abierta: llega «Seguimiento académico», enviada a «Todos los estudiantes en alerta»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Tarea 4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