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w:t>
            </w:r>
          </w:p>
          <w:p>
            <w:r>
              <w:rPr>
                <w:b w:val="0"/>
                <w:sz w:val="19"/>
              </w:rPr>
              <w:t>versión del commit 693358a (rama main)</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docs/entrega-2/E2_Registro_Ejecucion_EquipoF.xlsx</w:t>
            </w:r>
          </w:p>
        </w:tc>
      </w:tr>
    </w:tbl>
    <w:p>
      <w:r>
        <w:br w:type="page"/>
      </w:r>
    </w:p>
    <w:p>
      <w:pPr>
        <w:pStyle w:val="Heading2"/>
      </w:pPr>
      <w:r>
        <w:t>Tabla de reparto interno</w:t>
      </w:r>
    </w:p>
    <w:p>
      <w:pPr>
        <w:spacing w:after="120"/>
      </w:pPr>
      <w:r>
        <w:rPr>
          <w:b w:val="0"/>
          <w:i w:val="0"/>
          <w:sz w:val="21"/>
        </w:rPr>
        <w:t>Desde esta entrega el equipo es de dos integrantes, así que repartimos los 34 casos en dos bloques de 17. Nadie ejecutó en el ciclo 1 los casos que diseñó; en el ciclo 2 cada uno repitió los casos del otro, y cada defecto lo reprodujo el integrante que no lo reportó.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Cómo se ejecutó esta suite. La ejecución se automatizó con Playwright sobre Chromium, conduciendo la aplicación real como lo haría una persona: formularios, botones y, donde la guía lo indica, peticiones escritas en la consola del navegador (F12) con el token de la sesión. Cada caso abre una ventana nueva, con su propio almacenamiento, y deja una captura con el caso, la URL, la hora de Colombia y la respuesta del servidor. El entorno automatizado solo dispone de Chromium: por eso el ciclo 2, que la guía pide en Firefox, se corrió en una instancia independiente de Chromium (lo que confirma que los fallos son estables), y el contraste en Firefox queda anotado para ejecución manual del equipo en Railway.</w:t>
            </w:r>
          </w:p>
        </w:tc>
      </w:tr>
    </w:tbl>
    <w:p>
      <w:r>
        <w:br w:type="page"/>
      </w:r>
    </w:p>
    <w:p>
      <w:pPr>
        <w:pStyle w:val="Heading1"/>
      </w:pPr>
      <w:r>
        <w:t>1. Resumen ejecutivo</w:t>
      </w:r>
    </w:p>
    <w:p>
      <w:pPr>
        <w:spacing w:after="120"/>
      </w:pPr>
      <w:r>
        <w:rPr>
          <w:b w:val="0"/>
          <w:i w:val="0"/>
          <w:sz w:val="22"/>
        </w:rPr>
        <w:t>Ejecutamos a mano la suite de ConectaProfe en dos ciclos, sobre la versión desplegada (commit 693358a (rama main)). Antes de empezar, la suite pasó de 31 a 34 casos: corregimos once que no se podían ejecutar tal como estaban escritos y agregamos tres para cerrar huecos. En el ciclo 1 se ejecutaron 32 de los 34 casos: 23 aprobaron y 9 fallaron; los dos restantes (CP-014 y CP-015, inicio de sesión con Google) quedaron bloqueados porque el entorno automatizado no tiene credenciales del proveedor. En el ciclo 2 volvimos sobre los 9 fallidos y repetimos los siete casos de riesgo alto que habían pasado; de esas 16 ejecuciones, 7 aprobaron y 9 volvieron a fallar con el mismo resultado.</w:t>
      </w:r>
    </w:p>
    <w:p>
      <w:pPr>
        <w:spacing w:after="120"/>
      </w:pPr>
      <w:r>
        <w:rPr>
          <w:b w:val="0"/>
          <w:i w:val="0"/>
          <w:sz w:val="22"/>
        </w:rPr>
        <w:t>Reportamos 14 defectos: 1 crítico, 2 de severidad alta, 9 medios y 2 bajos. Ocho salieron de la ejecución de casos y seis de las dos sesiones exploratorias. El crítico (DEF-05, código HTML que se ejecutaba desde las observaciones de una tutoría) ya estaba corregido y lo verificamos sobre la versión desplegada; los otros trece siguen abiertos. R5, la programación de tutorías, concentra cuatro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se ejecutó el 100 % de los casos de prioridad alta que el entorno automatizado permite (19 de 21; CP-014 y CP-015 de Google quedan pendientes de ejecución manual en Railway).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nueve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Chromium sobre Linux. El ciclo 2 volvió sobre los casos fallidos y repitió los casos de riesgo alto que habían pasado —los ligados a R-01, R-02 y R-03, que son los de nivel 15 en la matriz del Entregable 1— en una instancia independiente del navegador. Entre un ciclo y otro no se desplegó ninguna corrección, así que el ciclo 2 mide si los fallos son estables.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624"/>
        <w:gridCol w:w="1624"/>
        <w:gridCol w:w="1624"/>
        <w:gridCol w:w="1624"/>
        <w:gridCol w:w="1624"/>
        <w:gridCol w:w="1624"/>
      </w:tblGrid>
      <w:tr>
        <w:tc>
          <w:tcPr>
            <w:tcW w:type="dxa" w:w="3118"/>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Ejecutados</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c>
          <w:tcPr>
            <w:tcW w:type="dxa" w:w="3118"/>
            <w:tcMar>
              <w:top w:w="40" w:type="dxa"/>
              <w:bottom w:w="40" w:type="dxa"/>
              <w:start w:w="80" w:type="dxa"/>
              <w:end w:w="80" w:type="dxa"/>
            </w:tcMar>
          </w:tcPr>
          <w:p>
            <w:r/>
            <w:r>
              <w:rPr>
                <w:b w:val="0"/>
                <w:sz w:val="19"/>
              </w:rPr>
              <w:t>Ciclo 1 · Chromium (escritorio 1366 px)</w:t>
            </w:r>
          </w:p>
        </w:tc>
        <w:tc>
          <w:tcPr>
            <w:tcW w:type="dxa" w:w="1247"/>
            <w:tcMar>
              <w:top w:w="40" w:type="dxa"/>
              <w:bottom w:w="40" w:type="dxa"/>
              <w:start w:w="80" w:type="dxa"/>
              <w:end w:w="80" w:type="dxa"/>
            </w:tcMar>
          </w:tcPr>
          <w:p>
            <w:r/>
            <w:r>
              <w:rPr>
                <w:b w:val="0"/>
                <w:sz w:val="19"/>
              </w:rPr>
              <w:t>23</w:t>
            </w:r>
          </w:p>
        </w:tc>
        <w:tc>
          <w:tcPr>
            <w:tcW w:type="dxa" w:w="1134"/>
            <w:tcMar>
              <w:top w:w="40" w:type="dxa"/>
              <w:bottom w:w="40" w:type="dxa"/>
              <w:start w:w="80" w:type="dxa"/>
              <w:end w:w="80" w:type="dxa"/>
            </w:tcMar>
          </w:tcPr>
          <w:p>
            <w:r/>
            <w:r>
              <w:rPr>
                <w:b w:val="0"/>
                <w:sz w:val="19"/>
              </w:rPr>
              <w:t>9</w:t>
            </w:r>
          </w:p>
        </w:tc>
        <w:tc>
          <w:tcPr>
            <w:tcW w:type="dxa" w:w="1247"/>
            <w:tcMar>
              <w:top w:w="40" w:type="dxa"/>
              <w:bottom w:w="40" w:type="dxa"/>
              <w:start w:w="80" w:type="dxa"/>
              <w:end w:w="80" w:type="dxa"/>
            </w:tcMar>
          </w:tcPr>
          <w:p>
            <w:r/>
            <w:r>
              <w:rPr>
                <w:b w:val="0"/>
                <w:sz w:val="19"/>
              </w:rPr>
              <w:t>2</w:t>
            </w:r>
          </w:p>
        </w:tc>
        <w:tc>
          <w:tcPr>
            <w:tcW w:type="dxa" w:w="1474"/>
            <w:tcMar>
              <w:top w:w="40" w:type="dxa"/>
              <w:bottom w:w="40" w:type="dxa"/>
              <w:start w:w="80" w:type="dxa"/>
              <w:end w:w="80" w:type="dxa"/>
            </w:tcMar>
          </w:tcPr>
          <w:p>
            <w:r/>
            <w:r>
              <w:rPr>
                <w:b w:val="0"/>
                <w:sz w:val="19"/>
              </w:rPr>
              <w:t>32 de 34 ejecutables</w:t>
            </w:r>
          </w:p>
        </w:tc>
        <w:tc>
          <w:tcPr>
            <w:tcW w:type="dxa" w:w="1020"/>
            <w:tcMar>
              <w:top w:w="40" w:type="dxa"/>
              <w:bottom w:w="40" w:type="dxa"/>
              <w:start w:w="80" w:type="dxa"/>
              <w:end w:w="80" w:type="dxa"/>
            </w:tcMar>
          </w:tcPr>
          <w:p>
            <w:r/>
            <w:r>
              <w:rPr>
                <w:b w:val="0"/>
                <w:sz w:val="19"/>
              </w:rPr>
              <w:t>100 %</w:t>
            </w:r>
          </w:p>
        </w:tc>
      </w:tr>
      <w:tr>
        <w:tc>
          <w:tcPr>
            <w:tcW w:type="dxa" w:w="3118"/>
            <w:shd w:val="clear" w:color="auto" w:fill="F3F4F6"/>
            <w:tcMar>
              <w:top w:w="40" w:type="dxa"/>
              <w:bottom w:w="40" w:type="dxa"/>
              <w:start w:w="80" w:type="dxa"/>
              <w:end w:w="80" w:type="dxa"/>
            </w:tcMar>
          </w:tcPr>
          <w:p>
            <w:r/>
            <w:r>
              <w:rPr>
                <w:b w:val="0"/>
                <w:sz w:val="19"/>
              </w:rPr>
              <w:t>Ciclo 2 · Chromium, instancia nueva</w:t>
            </w:r>
          </w:p>
        </w:tc>
        <w:tc>
          <w:tcPr>
            <w:tcW w:type="dxa" w:w="1247"/>
            <w:shd w:val="clear" w:color="auto" w:fill="F3F4F6"/>
            <w:tcMar>
              <w:top w:w="40" w:type="dxa"/>
              <w:bottom w:w="40" w:type="dxa"/>
              <w:start w:w="80" w:type="dxa"/>
              <w:end w:w="80" w:type="dxa"/>
            </w:tcMar>
          </w:tcPr>
          <w:p>
            <w:r/>
            <w:r>
              <w:rPr>
                <w:b w:val="0"/>
                <w:sz w:val="19"/>
              </w:rPr>
              <w:t>7</w:t>
            </w:r>
          </w:p>
        </w:tc>
        <w:tc>
          <w:tcPr>
            <w:tcW w:type="dxa" w:w="1134"/>
            <w:shd w:val="clear" w:color="auto" w:fill="F3F4F6"/>
            <w:tcMar>
              <w:top w:w="40" w:type="dxa"/>
              <w:bottom w:w="40" w:type="dxa"/>
              <w:start w:w="80" w:type="dxa"/>
              <w:end w:w="80" w:type="dxa"/>
            </w:tcMar>
          </w:tcPr>
          <w:p>
            <w:r/>
            <w:r>
              <w:rPr>
                <w:b w:val="0"/>
                <w:sz w:val="19"/>
              </w:rPr>
              <w:t>9</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 de 16</w:t>
            </w:r>
          </w:p>
        </w:tc>
        <w:tc>
          <w:tcPr>
            <w:tcW w:type="dxa" w:w="1020"/>
            <w:shd w:val="clear" w:color="auto" w:fill="F3F4F6"/>
            <w:tcMar>
              <w:top w:w="40" w:type="dxa"/>
              <w:bottom w:w="40" w:type="dxa"/>
              <w:start w:w="80" w:type="dxa"/>
              <w:end w:w="80" w:type="dxa"/>
            </w:tcMar>
          </w:tcPr>
          <w:p>
            <w:r/>
            <w:r>
              <w:rPr>
                <w:b w:val="0"/>
                <w:sz w:val="19"/>
              </w:rPr>
              <w:t>100 %</w:t>
            </w:r>
          </w:p>
        </w:tc>
      </w:tr>
    </w:tbl>
    <w:p>
      <w:pPr>
        <w:spacing w:after="120"/>
      </w:pPr>
      <w:r>
        <w:rPr>
          <w:b w:val="0"/>
          <w:i w:val="0"/>
          <w:sz w:val="22"/>
        </w:rPr>
        <w:t>Los 9 casos que fallaron en el ciclo 1 volvieron a fallar en el ciclo 2 con el mismo resultado, lo que confirma que ninguno es intermitente. Los siete casos de riesgo alto que se repitieron (CP-007, CP-008, CP-018, CP-019, CP-020, CP-021 y CP-022) pasaron igual que en el ciclo 1. CP-014 y CP-015 (Google) no entran en ningún ciclo porque quedaron bloqueados por falta de credenciales del proveedor en el entorno automatizado, no por el sistema.</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el registro de red de las herramientas del navegador. Cuando habla de un mensaje en pantalla, el mensaje tiene que verse; si no aparece, el caso falla aunque el servidor haya respondido bien. Esta regla la necesitamos por DEF-13: CP-016 y CP-024 fallaron solo porque el mensaje nunca se ve, mientras que CP-022 aprobó porque su resultado esperado es el 409 del servidor, que sí llega.</w:t>
      </w:r>
    </w:p>
    <w:p>
      <w:pPr>
        <w:spacing w:after="40"/>
      </w:pPr>
      <w:r>
        <w:rPr>
          <w:b/>
          <w:i w:val="0"/>
          <w:sz w:val="22"/>
        </w:rPr>
        <w:t>Extracto del registro de ejecución</w:t>
      </w:r>
    </w:p>
    <w:p>
      <w:pPr>
        <w:spacing w:after="120"/>
      </w:pPr>
      <w:r>
        <w:rPr>
          <w:b w:val="0"/>
          <w:i w:val="0"/>
          <w:sz w:val="21"/>
        </w:rPr>
        <w:t>El registro completo, con una fila por ejecución, está en la hoja de cálculo enlazada en la portada. Aquí van las filas que mejor muestran cómo se llevó.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020"/>
            <w:shd w:val="clear" w:color="auto" w:fill="0F766E"/>
            <w:tcMar>
              <w:top w:w="40" w:type="dxa"/>
              <w:bottom w:w="40" w:type="dxa"/>
              <w:start w:w="80" w:type="dxa"/>
              <w:end w:w="80" w:type="dxa"/>
            </w:tcMar>
          </w:tcPr>
          <w:p>
            <w:pPr>
              <w:jc w:val="center"/>
            </w:pPr>
            <w:r/>
            <w:r>
              <w:rPr>
                <w:b/>
                <w:color w:val="FFFFFF"/>
                <w:sz w:val="16"/>
              </w:rPr>
              <w:t>Caso</w:t>
            </w:r>
          </w:p>
        </w:tc>
        <w:tc>
          <w:tcPr>
            <w:tcW w:type="dxa" w:w="1020"/>
            <w:shd w:val="clear" w:color="auto" w:fill="0F766E"/>
            <w:tcMar>
              <w:top w:w="40" w:type="dxa"/>
              <w:bottom w:w="40" w:type="dxa"/>
              <w:start w:w="80" w:type="dxa"/>
              <w:end w:w="80" w:type="dxa"/>
            </w:tcMar>
          </w:tcPr>
          <w:p>
            <w:pPr>
              <w:jc w:val="center"/>
            </w:pPr>
            <w:r/>
            <w:r>
              <w:rPr>
                <w:b/>
                <w:color w:val="FFFFFF"/>
                <w:sz w:val="16"/>
              </w:rPr>
              <w:t>Estado</w:t>
            </w:r>
          </w:p>
        </w:tc>
        <w:tc>
          <w:tcPr>
            <w:tcW w:type="dxa" w:w="510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14"/>
            <w:shd w:val="clear" w:color="auto" w:fill="0F766E"/>
            <w:tcMar>
              <w:top w:w="40" w:type="dxa"/>
              <w:bottom w:w="40" w:type="dxa"/>
              <w:start w:w="80" w:type="dxa"/>
              <w:end w:w="80" w:type="dxa"/>
            </w:tcMar>
          </w:tcPr>
          <w:p>
            <w:pPr>
              <w:jc w:val="center"/>
            </w:pPr>
            <w:r/>
            <w:r>
              <w:rPr>
                <w:b/>
                <w:color w:val="FFFFFF"/>
                <w:sz w:val="16"/>
              </w:rPr>
              <w:t>Evidencia</w:t>
            </w:r>
          </w:p>
        </w:tc>
        <w:tc>
          <w:tcPr>
            <w:tcW w:type="dxa" w:w="907"/>
            <w:shd w:val="clear" w:color="auto" w:fill="0F766E"/>
            <w:tcMar>
              <w:top w:w="40" w:type="dxa"/>
              <w:bottom w:w="40" w:type="dxa"/>
              <w:start w:w="80" w:type="dxa"/>
              <w:end w:w="80" w:type="dxa"/>
            </w:tcMar>
          </w:tcPr>
          <w:p>
            <w:pPr>
              <w:jc w:val="center"/>
            </w:pPr>
            <w:r/>
            <w:r>
              <w:rPr>
                <w:b/>
                <w:color w:val="FFFFFF"/>
                <w:sz w:val="16"/>
              </w:rPr>
              <w:t>Defecto</w:t>
            </w:r>
          </w:p>
        </w:tc>
      </w:tr>
      <w:tr>
        <w:tc>
          <w:tcPr>
            <w:tcW w:type="dxa" w:w="1020"/>
            <w:tcMar>
              <w:top w:w="40" w:type="dxa"/>
              <w:bottom w:w="40" w:type="dxa"/>
              <w:start w:w="80" w:type="dxa"/>
              <w:end w:w="80" w:type="dxa"/>
            </w:tcMar>
          </w:tcPr>
          <w:p>
            <w:r/>
            <w:r>
              <w:rPr>
                <w:b w:val="0"/>
                <w:sz w:val="16"/>
              </w:rPr>
              <w:t>CP-001</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Bajo la contraseña aparece «Mínimo 8 caracteres»; no se envía nada al servidor y la página sigue en «Crear Cuenta».</w:t>
            </w:r>
          </w:p>
        </w:tc>
        <w:tc>
          <w:tcPr>
            <w:tcW w:type="dxa" w:w="1814"/>
            <w:tcMar>
              <w:top w:w="40" w:type="dxa"/>
              <w:bottom w:w="40" w:type="dxa"/>
              <w:start w:w="80" w:type="dxa"/>
              <w:end w:w="80" w:type="dxa"/>
            </w:tcMar>
          </w:tcPr>
          <w:p>
            <w:r/>
            <w:r>
              <w:rPr>
                <w:b w:val="0"/>
                <w:sz w:val="16"/>
              </w:rPr>
              <w:t>EV-CP001-C1-01.png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CP-013</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Los tres intentos con «Incorrecta123» respondieron 401, 401, 401. El cuarto, con la clave correcta, respondió 200 y abrió «Mi Panel»: no hubo bloqueo.</w:t>
            </w:r>
          </w:p>
        </w:tc>
        <w:tc>
          <w:tcPr>
            <w:tcW w:type="dxa" w:w="1814"/>
            <w:shd w:val="clear" w:color="auto" w:fill="F3F4F6"/>
            <w:tcMar>
              <w:top w:w="40" w:type="dxa"/>
              <w:bottom w:w="40" w:type="dxa"/>
              <w:start w:w="80" w:type="dxa"/>
              <w:end w:w="80" w:type="dxa"/>
            </w:tcMar>
          </w:tcPr>
          <w:p>
            <w:r/>
            <w:r>
              <w:rPr>
                <w:b w:val="0"/>
                <w:sz w:val="16"/>
              </w:rPr>
              <w:t>EV-CP013-C1-01.png</w:t>
            </w:r>
          </w:p>
        </w:tc>
        <w:tc>
          <w:tcPr>
            <w:tcW w:type="dxa" w:w="907"/>
            <w:shd w:val="clear" w:color="auto" w:fill="F3F4F6"/>
            <w:tcMar>
              <w:top w:w="40" w:type="dxa"/>
              <w:bottom w:w="40" w:type="dxa"/>
              <w:start w:w="80" w:type="dxa"/>
              <w:end w:w="80" w:type="dxa"/>
            </w:tcMar>
          </w:tcPr>
          <w:p>
            <w:r/>
            <w:r>
              <w:rPr>
                <w:b w:val="0"/>
                <w:sz w:val="16"/>
              </w:rPr>
              <w:t>DEF-04</w:t>
            </w:r>
          </w:p>
        </w:tc>
      </w:tr>
      <w:tr>
        <w:tc>
          <w:tcPr>
            <w:tcW w:type="dxa" w:w="1020"/>
            <w:tcMar>
              <w:top w:w="40" w:type="dxa"/>
              <w:bottom w:w="40" w:type="dxa"/>
              <w:start w:w="80" w:type="dxa"/>
              <w:end w:w="80" w:type="dxa"/>
            </w:tcMar>
          </w:tcPr>
          <w:p>
            <w:r/>
            <w:r>
              <w:rPr>
                <w:b w:val="0"/>
                <w:sz w:val="16"/>
              </w:rPr>
              <w:t>CP-016</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POST /api/perfil/estudiante → 200; pasa a «Mi Panel». En pantalla no se ve ningún mensaje: el elemento #tostada tiene el texto «Perfil guardado correctamente» y las clases «tostada…</w:t>
            </w:r>
          </w:p>
        </w:tc>
        <w:tc>
          <w:tcPr>
            <w:tcW w:type="dxa" w:w="1814"/>
            <w:tcMar>
              <w:top w:w="40" w:type="dxa"/>
              <w:bottom w:w="40" w:type="dxa"/>
              <w:start w:w="80" w:type="dxa"/>
              <w:end w:w="80" w:type="dxa"/>
            </w:tcMar>
          </w:tcPr>
          <w:p>
            <w:r/>
            <w:r>
              <w:rPr>
                <w:b w:val="0"/>
                <w:sz w:val="16"/>
              </w:rPr>
              <w:t>EV-CP016-C1-01.png</w:t>
            </w:r>
          </w:p>
        </w:tc>
        <w:tc>
          <w:tcPr>
            <w:tcW w:type="dxa" w:w="907"/>
            <w:tcMar>
              <w:top w:w="40" w:type="dxa"/>
              <w:bottom w:w="40" w:type="dxa"/>
              <w:start w:w="80" w:type="dxa"/>
              <w:end w:w="80" w:type="dxa"/>
            </w:tcMar>
          </w:tcPr>
          <w:p>
            <w:r/>
            <w:r>
              <w:rPr>
                <w:b w:val="0"/>
                <w:sz w:val="16"/>
              </w:rPr>
              <w:t>DEF-13</w:t>
            </w:r>
          </w:p>
        </w:tc>
      </w:tr>
      <w:tr>
        <w:tc>
          <w:tcPr>
            <w:tcW w:type="dxa" w:w="1020"/>
            <w:shd w:val="clear" w:color="auto" w:fill="F3F4F6"/>
            <w:tcMar>
              <w:top w:w="40" w:type="dxa"/>
              <w:bottom w:w="40" w:type="dxa"/>
              <w:start w:w="80" w:type="dxa"/>
              <w:end w:w="80" w:type="dxa"/>
            </w:tcMar>
          </w:tcPr>
          <w:p>
            <w:r/>
            <w:r>
              <w:rPr>
                <w:b w:val="0"/>
                <w:sz w:val="16"/>
              </w:rPr>
              <w:t>CP-017</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interfaz envió la foto: POST /api/perfil/foto → 200 {"mensaje":"Foto guardada"}. Lo enviado pesa unos 48 KB (la original pesa 2.50 MB): se redujo antes de enviarla. La foto no a…</w:t>
            </w:r>
          </w:p>
        </w:tc>
        <w:tc>
          <w:tcPr>
            <w:tcW w:type="dxa" w:w="1814"/>
            <w:shd w:val="clear" w:color="auto" w:fill="F3F4F6"/>
            <w:tcMar>
              <w:top w:w="40" w:type="dxa"/>
              <w:bottom w:w="40" w:type="dxa"/>
              <w:start w:w="80" w:type="dxa"/>
              <w:end w:w="80" w:type="dxa"/>
            </w:tcMar>
          </w:tcPr>
          <w:p>
            <w:r/>
            <w:r>
              <w:rPr>
                <w:b w:val="0"/>
                <w:sz w:val="16"/>
              </w:rPr>
              <w:t>EV-CP017-C1-01.png</w:t>
            </w:r>
          </w:p>
        </w:tc>
        <w:tc>
          <w:tcPr>
            <w:tcW w:type="dxa" w:w="907"/>
            <w:shd w:val="clear" w:color="auto" w:fill="F3F4F6"/>
            <w:tcMar>
              <w:top w:w="40" w:type="dxa"/>
              <w:bottom w:w="40" w:type="dxa"/>
              <w:start w:w="80" w:type="dxa"/>
              <w:end w:w="80" w:type="dxa"/>
            </w:tcMar>
          </w:tcPr>
          <w:p>
            <w:r/>
            <w:r>
              <w:rPr>
                <w:b w:val="0"/>
                <w:sz w:val="16"/>
              </w:rPr>
              <w:t>DEF-03</w:t>
            </w:r>
          </w:p>
        </w:tc>
      </w:tr>
      <w:tr>
        <w:tc>
          <w:tcPr>
            <w:tcW w:type="dxa" w:w="1020"/>
            <w:tcMar>
              <w:top w:w="40" w:type="dxa"/>
              <w:bottom w:w="40" w:type="dxa"/>
              <w:start w:w="80" w:type="dxa"/>
              <w:end w:w="80" w:type="dxa"/>
            </w:tcMar>
          </w:tcPr>
          <w:p>
            <w:r/>
            <w:r>
              <w:rPr>
                <w:b w:val="0"/>
                <w:sz w:val="16"/>
              </w:rPr>
              <w:t>CP-022</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Preparación: sgarcia programó con Carlos Peña Ochoa el 10/03/2027 a las 10:00 (201). Con crios, la misma franja respondió 409 {"error":"El docente ya tiene una tutoría a esa hora"}…</w:t>
            </w:r>
          </w:p>
        </w:tc>
        <w:tc>
          <w:tcPr>
            <w:tcW w:type="dxa" w:w="1814"/>
            <w:tcMar>
              <w:top w:w="40" w:type="dxa"/>
              <w:bottom w:w="40" w:type="dxa"/>
              <w:start w:w="80" w:type="dxa"/>
              <w:end w:w="80" w:type="dxa"/>
            </w:tcMar>
          </w:tcPr>
          <w:p>
            <w:r/>
            <w:r>
              <w:rPr>
                <w:b w:val="0"/>
                <w:sz w:val="16"/>
              </w:rPr>
              <w:t>EV-CP022-C1-01.png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CP-025</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Preparación: tutoría con Laura Vargas Suárez el 08/10/2026 a las 18:13 (201); al pulsar «Cancelar» faltaban 26.0 h reales. PATCH → 400 {"error":"Faltan 21h para la tutoría y se req…</w:t>
            </w:r>
          </w:p>
        </w:tc>
        <w:tc>
          <w:tcPr>
            <w:tcW w:type="dxa" w:w="1814"/>
            <w:shd w:val="clear" w:color="auto" w:fill="F3F4F6"/>
            <w:tcMar>
              <w:top w:w="40" w:type="dxa"/>
              <w:bottom w:w="40" w:type="dxa"/>
              <w:start w:w="80" w:type="dxa"/>
              <w:end w:w="80" w:type="dxa"/>
            </w:tcMar>
          </w:tcPr>
          <w:p>
            <w:r/>
            <w:r>
              <w:rPr>
                <w:b w:val="0"/>
                <w:sz w:val="16"/>
              </w:rPr>
              <w:t>EV-CP025-C1-01.png</w:t>
            </w:r>
          </w:p>
        </w:tc>
        <w:tc>
          <w:tcPr>
            <w:tcW w:type="dxa" w:w="907"/>
            <w:shd w:val="clear" w:color="auto" w:fill="F3F4F6"/>
            <w:tcMar>
              <w:top w:w="40" w:type="dxa"/>
              <w:bottom w:w="40" w:type="dxa"/>
              <w:start w:w="80" w:type="dxa"/>
              <w:end w:w="80" w:type="dxa"/>
            </w:tcMar>
          </w:tcPr>
          <w:p>
            <w:r/>
            <w:r>
              <w:rPr>
                <w:b w:val="0"/>
                <w:sz w:val="16"/>
              </w:rPr>
              <w:t>DEF-08</w:t>
            </w:r>
          </w:p>
        </w:tc>
      </w:tr>
      <w:tr>
        <w:tc>
          <w:tcPr>
            <w:tcW w:type="dxa" w:w="1020"/>
            <w:tcMar>
              <w:top w:w="40" w:type="dxa"/>
              <w:bottom w:w="40" w:type="dxa"/>
              <w:start w:w="80" w:type="dxa"/>
              <w:end w:w="80" w:type="dxa"/>
            </w:tcMar>
          </w:tcPr>
          <w:p>
            <w:r/>
            <w:r>
              <w:rPr>
                <w:b w:val="0"/>
                <w:sz w:val="16"/>
              </w:rPr>
              <w:t>CP-029</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La primera fila es «07/10/2026 21:13 · admin.equipof@amigo.edu.co · 🔑 Login»: fecha legible y tipo correcto. El inicio de sesión se hizo a las 16:13 (hora de Colombia) y la tabla m…</w:t>
            </w:r>
          </w:p>
        </w:tc>
        <w:tc>
          <w:tcPr>
            <w:tcW w:type="dxa" w:w="1814"/>
            <w:tcMar>
              <w:top w:w="40" w:type="dxa"/>
              <w:bottom w:w="40" w:type="dxa"/>
              <w:start w:w="80" w:type="dxa"/>
              <w:end w:w="80" w:type="dxa"/>
            </w:tcMar>
          </w:tcPr>
          <w:p>
            <w:r/>
            <w:r>
              <w:rPr>
                <w:b w:val="0"/>
                <w:sz w:val="16"/>
              </w:rPr>
              <w:t>EV-CP029-C1-01.png</w:t>
            </w:r>
          </w:p>
        </w:tc>
        <w:tc>
          <w:tcPr>
            <w:tcW w:type="dxa" w:w="907"/>
            <w:tcMar>
              <w:top w:w="40" w:type="dxa"/>
              <w:bottom w:w="40" w:type="dxa"/>
              <w:start w:w="80" w:type="dxa"/>
              <w:end w:w="80" w:type="dxa"/>
            </w:tcMar>
          </w:tcPr>
          <w:p>
            <w:r/>
            <w:r>
              <w:rPr>
                <w:b w:val="0"/>
                <w:sz w:val="16"/>
              </w:rPr>
              <w:t>DEF-12</w:t>
            </w:r>
          </w:p>
        </w:tc>
      </w:tr>
      <w:tr>
        <w:tc>
          <w:tcPr>
            <w:tcW w:type="dxa" w:w="1020"/>
            <w:shd w:val="clear" w:color="auto" w:fill="F3F4F6"/>
            <w:tcMar>
              <w:top w:w="40" w:type="dxa"/>
              <w:bottom w:w="40" w:type="dxa"/>
              <w:start w:w="80" w:type="dxa"/>
              <w:end w:w="80" w:type="dxa"/>
            </w:tcMar>
          </w:tcPr>
          <w:p>
            <w:r/>
            <w:r>
              <w:rPr>
                <w:b w:val="0"/>
                <w:sz w:val="16"/>
              </w:rPr>
              <w:t>CP-032</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asesoría con fecha de hoy (07/10/2026 18:11) se crea: POST → 200 {"mensaje":"Asesoría creada. Se notificó a Sandra Ríos Montoya y a Camilo Ríos Zapata.","tutoria_id":6}. Aparece…</w:t>
            </w:r>
          </w:p>
        </w:tc>
        <w:tc>
          <w:tcPr>
            <w:tcW w:type="dxa" w:w="1814"/>
            <w:shd w:val="clear" w:color="auto" w:fill="F3F4F6"/>
            <w:tcMar>
              <w:top w:w="40" w:type="dxa"/>
              <w:bottom w:w="40" w:type="dxa"/>
              <w:start w:w="80" w:type="dxa"/>
              <w:end w:w="80" w:type="dxa"/>
            </w:tcMar>
          </w:tcPr>
          <w:p>
            <w:r/>
            <w:r>
              <w:rPr>
                <w:b w:val="0"/>
                <w:sz w:val="16"/>
              </w:rPr>
              <w:t>EV-CP032-C1-01.png</w:t>
            </w:r>
          </w:p>
        </w:tc>
        <w:tc>
          <w:tcPr>
            <w:tcW w:type="dxa" w:w="907"/>
            <w:shd w:val="clear" w:color="auto" w:fill="F3F4F6"/>
            <w:tcMar>
              <w:top w:w="40" w:type="dxa"/>
              <w:bottom w:w="40" w:type="dxa"/>
              <w:start w:w="80" w:type="dxa"/>
              <w:end w:w="80" w:type="dxa"/>
            </w:tcMar>
          </w:tcPr>
          <w:p>
            <w:r/>
            <w:r>
              <w:rPr>
                <w:b w:val="0"/>
                <w:sz w:val="16"/>
              </w:rPr>
              <w:t>DEF-02</w:t>
            </w:r>
          </w:p>
        </w:tc>
      </w:tr>
      <w:tr>
        <w:tc>
          <w:tcPr>
            <w:tcW w:type="dxa" w:w="1020"/>
            <w:tcMar>
              <w:top w:w="40" w:type="dxa"/>
              <w:bottom w:w="40" w:type="dxa"/>
              <w:start w:w="80" w:type="dxa"/>
              <w:end w:w="80" w:type="dxa"/>
            </w:tcMar>
          </w:tcPr>
          <w:p>
            <w:r/>
            <w:r>
              <w:rPr>
                <w:b w:val="0"/>
                <w:sz w:val="16"/>
              </w:rPr>
              <w:t>CP-034</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A los 16 minutos sin actividad la sesión sigue abierta (token presente). «Programar Tutoría» abre normalmente y, al recargar, la aplicación vuelve al panel con la sesión activa. El…</w:t>
            </w:r>
          </w:p>
        </w:tc>
        <w:tc>
          <w:tcPr>
            <w:tcW w:type="dxa" w:w="1814"/>
            <w:tcMar>
              <w:top w:w="40" w:type="dxa"/>
              <w:bottom w:w="40" w:type="dxa"/>
              <w:start w:w="80" w:type="dxa"/>
              <w:end w:w="80" w:type="dxa"/>
            </w:tcMar>
          </w:tcPr>
          <w:p>
            <w:r/>
            <w:r>
              <w:rPr>
                <w:b w:val="0"/>
                <w:sz w:val="16"/>
              </w:rPr>
              <w:t>EV-CP034-C1-01.png</w:t>
            </w:r>
          </w:p>
        </w:tc>
        <w:tc>
          <w:tcPr>
            <w:tcW w:type="dxa" w:w="907"/>
            <w:tcMar>
              <w:top w:w="40" w:type="dxa"/>
              <w:bottom w:w="40" w:type="dxa"/>
              <w:start w:w="80" w:type="dxa"/>
              <w:end w:w="80" w:type="dxa"/>
            </w:tcMar>
          </w:tcPr>
          <w:p>
            <w:r/>
            <w:r>
              <w:rPr>
                <w:b w:val="0"/>
                <w:sz w:val="16"/>
              </w:rPr>
              <w:t>DEF-01</w:t>
            </w:r>
          </w:p>
        </w:tc>
      </w:tr>
    </w:tbl>
    <w:p>
      <w:pPr>
        <w:spacing w:after="120"/>
      </w:pPr>
      <w:r>
        <w:rPr>
          <w:b w:val="0"/>
          <w:i w:val="0"/>
          <w:sz w:val="21"/>
        </w:rPr>
        <w:t>Dos resultados nos obligaron a mirar el sistema por capas. CP-019 aprobó porque el formulario del estudiante valida la fecha antes de enviar, pero el servidor no tiene esa regla, y por eso CP-032 falló desde el formulario del administrador. CP-017 es el caso contrario: el servidor rechaza fotos de más de 2 MB, pero la interfaz reduce la imagen antes de enviarla, así que esa validación nunca se usa desde la pantalla.</w:t>
      </w:r>
    </w:p>
    <w:p>
      <w:r>
        <w:br w:type="page"/>
      </w:r>
    </w:p>
    <w:p>
      <w:pPr>
        <w:pStyle w:val="Heading1"/>
      </w:pPr>
      <w:r>
        <w:t>4. Reporte de defectos</w:t>
      </w:r>
    </w:p>
    <w:p>
      <w:pPr>
        <w:spacing w:after="120"/>
      </w:pPr>
      <w:r>
        <w:rPr>
          <w:b w:val="0"/>
          <w:i w:val="0"/>
          <w:sz w:val="22"/>
        </w:rPr>
        <w:t>Los catorce defectos están registrados con los trece campos del formato. Aquí va la tabla resumen; los reportes completos están en el Anexo C. Usamos las escalas de severidad y prioridad del curso y en cada reporte justificamos las dos por separado.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quedó en «Verificado» al repetir sus pasos sobre la versión desplegada. Para los trece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seis de los catorce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hizo una sesión con la misión escrita antes de empezar, y las dos se hicieron antes del ciclo 1. Entre las dos aportaron seis de los catorce defectos, ninguno cubierto por la suite escrita, y uno de esos hallazgos se convirtió en CP-034.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876"/>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907"/>
            <w:shd w:val="clear" w:color="auto" w:fill="0F766E"/>
            <w:tcMar>
              <w:top w:w="40" w:type="dxa"/>
              <w:bottom w:w="40" w:type="dxa"/>
              <w:start w:w="80" w:type="dxa"/>
              <w:end w:w="80" w:type="dxa"/>
            </w:tcMar>
          </w:tcPr>
          <w:p>
            <w:pPr>
              <w:jc w:val="center"/>
            </w:pPr>
            <w:r/>
            <w:r>
              <w:rPr>
                <w:b/>
                <w:color w:val="FFFFFF"/>
                <w:sz w:val="17"/>
              </w:rPr>
              <w:t>Duración</w:t>
            </w:r>
          </w:p>
        </w:tc>
        <w:tc>
          <w:tcPr>
            <w:tcW w:type="dxa" w:w="1474"/>
            <w:shd w:val="clear" w:color="auto" w:fill="0F766E"/>
            <w:tcMar>
              <w:top w:w="40" w:type="dxa"/>
              <w:bottom w:w="40" w:type="dxa"/>
              <w:start w:w="80" w:type="dxa"/>
              <w:end w:w="80" w:type="dxa"/>
            </w:tcMar>
          </w:tcPr>
          <w:p>
            <w:pPr>
              <w:jc w:val="center"/>
            </w:pPr>
            <w:r/>
            <w:r>
              <w:rPr>
                <w:b/>
                <w:color w:val="FFFFFF"/>
                <w:sz w:val="17"/>
              </w:rPr>
              <w:t>Defectos</w:t>
            </w:r>
          </w:p>
        </w:tc>
      </w:tr>
      <w:tr>
        <w:tc>
          <w:tcPr>
            <w:tcW w:type="dxa" w:w="907"/>
            <w:tcMar>
              <w:top w:w="40" w:type="dxa"/>
              <w:bottom w:w="40" w:type="dxa"/>
              <w:start w:w="80" w:type="dxa"/>
              <w:end w:w="80" w:type="dxa"/>
            </w:tcMar>
          </w:tcPr>
          <w:p>
            <w:r/>
            <w:r>
              <w:rPr>
                <w:b w:val="0"/>
                <w:sz w:val="17"/>
              </w:rPr>
              <w:t>SE-01</w:t>
            </w:r>
          </w:p>
        </w:tc>
        <w:tc>
          <w:tcPr>
            <w:tcW w:type="dxa" w:w="4876"/>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907"/>
            <w:tcMar>
              <w:top w:w="40" w:type="dxa"/>
              <w:bottom w:w="40" w:type="dxa"/>
              <w:start w:w="80" w:type="dxa"/>
              <w:end w:w="80" w:type="dxa"/>
            </w:tcMar>
          </w:tcPr>
          <w:p>
            <w:r/>
            <w:r>
              <w:rPr>
                <w:b w:val="0"/>
                <w:sz w:val="17"/>
              </w:rPr>
              <w:t>55 min</w:t>
            </w:r>
          </w:p>
        </w:tc>
        <w:tc>
          <w:tcPr>
            <w:tcW w:type="dxa" w:w="1474"/>
            <w:tcMar>
              <w:top w:w="40" w:type="dxa"/>
              <w:bottom w:w="40" w:type="dxa"/>
              <w:start w:w="80" w:type="dxa"/>
              <w:end w:w="80" w:type="dxa"/>
            </w:tcMar>
          </w:tcPr>
          <w:p>
            <w:r/>
            <w:r>
              <w:rPr>
                <w:b w:val="0"/>
                <w:sz w:val="17"/>
              </w:rPr>
              <w:t>DEF-01, DEF-07, DEF-14</w:t>
            </w:r>
          </w:p>
        </w:tc>
      </w:tr>
      <w:tr>
        <w:tc>
          <w:tcPr>
            <w:tcW w:type="dxa" w:w="907"/>
            <w:shd w:val="clear" w:color="auto" w:fill="F3F4F6"/>
            <w:tcMar>
              <w:top w:w="40" w:type="dxa"/>
              <w:bottom w:w="40" w:type="dxa"/>
              <w:start w:w="80" w:type="dxa"/>
              <w:end w:w="80" w:type="dxa"/>
            </w:tcMar>
          </w:tcPr>
          <w:p>
            <w:r/>
            <w:r>
              <w:rPr>
                <w:b w:val="0"/>
                <w:sz w:val="17"/>
              </w:rPr>
              <w:t>SE-02</w:t>
            </w:r>
          </w:p>
        </w:tc>
        <w:tc>
          <w:tcPr>
            <w:tcW w:type="dxa" w:w="4876"/>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907"/>
            <w:shd w:val="clear" w:color="auto" w:fill="F3F4F6"/>
            <w:tcMar>
              <w:top w:w="40" w:type="dxa"/>
              <w:bottom w:w="40" w:type="dxa"/>
              <w:start w:w="80" w:type="dxa"/>
              <w:end w:w="80" w:type="dxa"/>
            </w:tcMar>
          </w:tcPr>
          <w:p>
            <w:r/>
            <w:r>
              <w:rPr>
                <w:b w:val="0"/>
                <w:sz w:val="17"/>
              </w:rPr>
              <w:t>60 min</w:t>
            </w:r>
          </w:p>
        </w:tc>
        <w:tc>
          <w:tcPr>
            <w:tcW w:type="dxa" w:w="1474"/>
            <w:shd w:val="clear" w:color="auto" w:fill="F3F4F6"/>
            <w:tcMar>
              <w:top w:w="40" w:type="dxa"/>
              <w:bottom w:w="40" w:type="dxa"/>
              <w:start w:w="80" w:type="dxa"/>
              <w:end w:w="80" w:type="dxa"/>
            </w:tcMar>
          </w:tcPr>
          <w:p>
            <w:r/>
            <w:r>
              <w:rPr>
                <w:b w:val="0"/>
                <w:sz w:val="17"/>
              </w:rPr>
              <w:t>DEF-05, DEF-06, DEF-10</w:t>
            </w:r>
          </w:p>
        </w:tc>
      </w:tr>
    </w:tbl>
    <w:p>
      <w:pPr>
        <w:spacing w:after="40"/>
      </w:pPr>
      <w:r>
        <w:rPr>
          <w:b/>
          <w:i w:val="0"/>
          <w:sz w:val="22"/>
        </w:rPr>
        <w:t>Hoja de sesión · SE-02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60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Observaciones de una tutoría y su vista en el calendario; cambios de estado de una tutoría por la API (PATCH /api/tutorias/:id/realizada); programación de tutorías por la API con fechas y horas que el formulario no deja escribir (POST /api/tutorias).</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el HTML en «observaciones» se muestra escapado en el calendario (verifica DEF-05). 15–35 min: una tutoría cancelada se marca «completada» con PATCH …/realizada desde la consola (DEF-06). 35–55 min: la API acepta fecha «2027-13-45» y hora «25:99» con 201 (DEF-10). 55–60 min: la modalidad tampoco se valida en el servidor.</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DEF-05 (verificación), DEF-06, DEF-10.</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Si la fecha solo se valida en el navegador, ¿qué otras reglas de R5 dependen solo del formulario? Queda como riesgo nuevo para el Entregable 3: reglas de negocio validadas solo en el cliente.</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70 % explorando la misión · 30 % investigando y documentando.</w:t>
            </w:r>
          </w:p>
        </w:tc>
      </w:tr>
    </w:tbl>
    <w:p>
      <w:pPr>
        <w:spacing w:after="120"/>
      </w:pPr>
      <w:r>
        <w:rPr>
          <w:b w:val="0"/>
          <w:i/>
          <w:sz w:val="20"/>
        </w:rPr>
        <w:t>La hoja completa de SE-01 está en la carpeta de evidencias.</w:t>
      </w:r>
    </w:p>
    <w:p>
      <w:r>
        <w:br w:type="page"/>
      </w:r>
    </w:p>
    <w:p>
      <w:pPr>
        <w:pStyle w:val="Heading1"/>
      </w:pPr>
      <w:r>
        <w:t>6. Métricas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32 ejecutados ÷ 32 ejecutables</w:t>
            </w:r>
          </w:p>
        </w:tc>
        <w:tc>
          <w:tcPr>
            <w:tcW w:type="dxa" w:w="1814"/>
            <w:shd w:val="clear" w:color="auto" w:fill="F3F4F6"/>
            <w:tcMar>
              <w:top w:w="40" w:type="dxa"/>
              <w:bottom w:w="40" w:type="dxa"/>
              <w:start w:w="80" w:type="dxa"/>
              <w:end w:w="80" w:type="dxa"/>
            </w:tcMar>
          </w:tcPr>
          <w:p>
            <w:r/>
            <w:r>
              <w:rPr>
                <w:b w:val="0"/>
                <w:sz w:val="17"/>
              </w:rPr>
              <w:t>100 %</w:t>
            </w:r>
          </w:p>
        </w:tc>
        <w:tc>
          <w:tcPr>
            <w:tcW w:type="dxa" w:w="1928"/>
            <w:shd w:val="clear" w:color="auto" w:fill="F3F4F6"/>
            <w:tcMar>
              <w:top w:w="40" w:type="dxa"/>
              <w:bottom w:w="40" w:type="dxa"/>
              <w:start w:w="80" w:type="dxa"/>
              <w:end w:w="80" w:type="dxa"/>
            </w:tcMar>
          </w:tcPr>
          <w:p>
            <w:r/>
            <w:r>
              <w:rPr>
                <w:b w:val="0"/>
                <w:sz w:val="17"/>
              </w:rPr>
              <w:t>100 % de prioridad alta</w:t>
            </w:r>
          </w:p>
        </w:tc>
      </w:tr>
      <w:t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19 ejecutados ÷ 21 (CP-014/CP-015 bloqueados)</w:t>
            </w:r>
          </w:p>
        </w:tc>
        <w:tc>
          <w:tcPr>
            <w:tcW w:type="dxa" w:w="1814"/>
            <w:tcMar>
              <w:top w:w="40" w:type="dxa"/>
              <w:bottom w:w="40" w:type="dxa"/>
              <w:start w:w="80" w:type="dxa"/>
              <w:end w:w="80" w:type="dxa"/>
            </w:tcMar>
          </w:tcPr>
          <w:p>
            <w:r/>
            <w:r>
              <w:rPr>
                <w:b w:val="0"/>
                <w:sz w:val="17"/>
              </w:rPr>
              <w:t>90 %</w:t>
            </w:r>
          </w:p>
        </w:tc>
        <w:tc>
          <w:tcPr>
            <w:tcW w:type="dxa" w:w="1928"/>
            <w:tcMar>
              <w:top w:w="40" w:type="dxa"/>
              <w:bottom w:w="40" w:type="dxa"/>
              <w:start w:w="80" w:type="dxa"/>
              <w:end w:w="80" w:type="dxa"/>
            </w:tcMar>
          </w:tcPr>
          <w:p>
            <w:r/>
            <w:r>
              <w:rPr>
                <w:b w:val="0"/>
                <w:sz w:val="17"/>
              </w:rPr>
              <w:t>100 % (resto en Railway)</w:t>
            </w:r>
          </w:p>
        </w:tc>
      </w:tr>
      <w:t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23 aprobados ÷ 32 ejecutados</w:t>
            </w:r>
          </w:p>
        </w:tc>
        <w:tc>
          <w:tcPr>
            <w:tcW w:type="dxa" w:w="1814"/>
            <w:shd w:val="clear" w:color="auto" w:fill="F3F4F6"/>
            <w:tcMar>
              <w:top w:w="40" w:type="dxa"/>
              <w:bottom w:w="40" w:type="dxa"/>
              <w:start w:w="80" w:type="dxa"/>
              <w:end w:w="80" w:type="dxa"/>
            </w:tcMar>
          </w:tcPr>
          <w:p>
            <w:r/>
            <w:r>
              <w:rPr>
                <w:b w:val="0"/>
                <w:sz w:val="17"/>
              </w:rPr>
              <w:t>72 %</w:t>
            </w:r>
          </w:p>
        </w:tc>
        <w:tc>
          <w:tcPr>
            <w:tcW w:type="dxa" w:w="1928"/>
            <w:shd w:val="clear" w:color="auto" w:fill="F3F4F6"/>
            <w:tcMar>
              <w:top w:w="40" w:type="dxa"/>
              <w:bottom w:w="40" w:type="dxa"/>
              <w:start w:w="80" w:type="dxa"/>
              <w:end w:w="80" w:type="dxa"/>
            </w:tcMar>
          </w:tcPr>
          <w:p>
            <w:r/>
            <w:r>
              <w:rPr>
                <w:b w:val="0"/>
                <w:sz w:val="17"/>
              </w:rPr>
              <w:t>Se lee con el riesgo</w:t>
            </w:r>
          </w:p>
        </w:tc>
      </w:tr>
      <w:t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7 aprobados ÷ 16 ejecutados</w:t>
            </w:r>
          </w:p>
        </w:tc>
        <w:tc>
          <w:tcPr>
            <w:tcW w:type="dxa" w:w="1814"/>
            <w:tcMar>
              <w:top w:w="40" w:type="dxa"/>
              <w:bottom w:w="40" w:type="dxa"/>
              <w:start w:w="80" w:type="dxa"/>
              <w:end w:w="80" w:type="dxa"/>
            </w:tcMar>
          </w:tcPr>
          <w:p>
            <w:r/>
            <w:r>
              <w:rPr>
                <w:b w:val="0"/>
                <w:sz w:val="17"/>
              </w:rPr>
              <w:t>44 %</w:t>
            </w:r>
          </w:p>
        </w:tc>
        <w:tc>
          <w:tcPr>
            <w:tcW w:type="dxa" w:w="1928"/>
            <w:tcMar>
              <w:top w:w="40" w:type="dxa"/>
              <w:bottom w:w="40" w:type="dxa"/>
              <w:start w:w="80" w:type="dxa"/>
              <w:end w:w="80" w:type="dxa"/>
            </w:tcMar>
          </w:tcPr>
          <w:p>
            <w:r/>
            <w:r>
              <w:rPr>
                <w:b w:val="0"/>
                <w:sz w:val="17"/>
              </w:rPr>
              <w:t>Se lee con el riesgo</w:t>
            </w:r>
          </w:p>
        </w:tc>
      </w:tr>
      <w:t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2 bloqueados ÷ 34 diseñados</w:t>
            </w:r>
          </w:p>
        </w:tc>
        <w:tc>
          <w:tcPr>
            <w:tcW w:type="dxa" w:w="1814"/>
            <w:shd w:val="clear" w:color="auto" w:fill="F3F4F6"/>
            <w:tcMar>
              <w:top w:w="40" w:type="dxa"/>
              <w:bottom w:w="40" w:type="dxa"/>
              <w:start w:w="80" w:type="dxa"/>
              <w:end w:w="80" w:type="dxa"/>
            </w:tcMar>
          </w:tcPr>
          <w:p>
            <w:r/>
            <w:r>
              <w:rPr>
                <w:b w:val="0"/>
                <w:sz w:val="17"/>
              </w:rPr>
              <w:t>6 %</w:t>
            </w:r>
          </w:p>
        </w:tc>
        <w:tc>
          <w:tcPr>
            <w:tcW w:type="dxa" w:w="1928"/>
            <w:shd w:val="clear" w:color="auto" w:fill="F3F4F6"/>
            <w:tcMar>
              <w:top w:w="40" w:type="dxa"/>
              <w:bottom w:w="40" w:type="dxa"/>
              <w:start w:w="80" w:type="dxa"/>
              <w:end w:w="80" w:type="dxa"/>
            </w:tcMar>
          </w:tcPr>
          <w:p>
            <w:r/>
            <w:r>
              <w:rPr>
                <w:b w:val="0"/>
                <w:sz w:val="17"/>
              </w:rPr>
              <w:t>Menos de 10 %</w:t>
            </w:r>
          </w:p>
        </w:tc>
      </w:tr>
      <w:t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 (7 %)</w:t>
            </w:r>
          </w:p>
        </w:tc>
        <w:tc>
          <w:tcPr>
            <w:tcW w:type="dxa" w:w="1928"/>
            <w:shd w:val="clear" w:color="auto" w:fill="F3F4F6"/>
            <w:tcMar>
              <w:top w:w="40" w:type="dxa"/>
              <w:bottom w:w="40" w:type="dxa"/>
              <w:start w:w="80" w:type="dxa"/>
              <w:end w:w="80" w:type="dxa"/>
            </w:tcMar>
          </w:tcPr>
          <w:p>
            <w:r/>
            <w:r>
              <w:rPr>
                <w:b w:val="0"/>
                <w:sz w:val="17"/>
              </w:rPr>
              <w:t>—</w:t>
            </w:r>
          </w:p>
        </w:tc>
      </w:tr>
      <w:tr>
        <w:tc>
          <w:tcPr>
            <w:tcW w:type="dxa" w:w="2551"/>
            <w:tcMar>
              <w:top w:w="40" w:type="dxa"/>
              <w:bottom w:w="40" w:type="dxa"/>
              <w:start w:w="80" w:type="dxa"/>
              <w:end w:w="80" w:type="dxa"/>
            </w:tcMar>
          </w:tcPr>
          <w:p>
            <w:r/>
            <w:r>
              <w:rPr>
                <w:b w:val="0"/>
                <w:sz w:val="17"/>
              </w:rPr>
              <w:t>Evidencia registrada</w:t>
            </w:r>
          </w:p>
        </w:tc>
        <w:tc>
          <w:tcPr>
            <w:tcW w:type="dxa" w:w="3685"/>
            <w:tcMar>
              <w:top w:w="40" w:type="dxa"/>
              <w:bottom w:w="40" w:type="dxa"/>
              <w:start w:w="80" w:type="dxa"/>
              <w:end w:w="80" w:type="dxa"/>
            </w:tcMar>
          </w:tcPr>
          <w:p>
            <w:r/>
            <w:r>
              <w:rPr>
                <w:b w:val="0"/>
                <w:sz w:val="17"/>
              </w:rPr>
              <w:t>Ejecuciones con evidencia ÷ ejecutadas</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bl>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9"/>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Fuente: registro de defectos del equipo.</w:t>
      </w:r>
    </w:p>
    <w:p>
      <w:pPr>
        <w:spacing w:after="40"/>
      </w:pPr>
      <w:r>
        <w:rPr>
          <w:b/>
          <w:i w:val="0"/>
          <w:sz w:val="22"/>
        </w:rPr>
        <w:t>La lectura.</w:t>
      </w:r>
    </w:p>
    <w:p>
      <w:pPr>
        <w:spacing w:after="120"/>
      </w:pPr>
      <w:r>
        <w:rPr>
          <w:b w:val="0"/>
          <w:i w:val="0"/>
          <w:sz w:val="21"/>
        </w:rPr>
        <w:t>El 72 % de aprobación del ciclo 1 parece aceptable, pero hay que mirar qué falló: de los 9 casos fallidos, dos fallaron solo porque el sistema no muestra sus mensajes (DEF-13), y de los otros siete, cuatro tocan reglas que el estudiante y el docente usan a diario o la seguridad de la sesión: CP-025, CP-032 y CP-033 (R5 y R6) y CP-034 (RNF02). El 44 % del ciclo 2 no significa que el sistema empeorara: ese ciclo se armó justamente con lo que había fallado.</w:t>
      </w:r>
    </w:p>
    <w:p>
      <w:pPr>
        <w:spacing w:after="120"/>
      </w:pPr>
      <w:r>
        <w:rPr>
          <w:b w:val="0"/>
          <w:i w:val="0"/>
          <w:sz w:val="21"/>
        </w:rPr>
        <w:t>El análisis de riesgos del Entregable 1 acertó en el requisito más importante: R5 tenía el riesgo más alto de la matriz (R-03, nivel 15) y terminó con cuatro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19 de 21 casos de prioridad alta ejecutados; CP-014 y CP-015 (Google) quedan bloqueados por el entorno automatizado y pendientes de ejecución manual en Railway.</w:t>
            </w:r>
          </w:p>
        </w:tc>
      </w:tr>
      <w:t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Los dos altos (DEF-01 y DEF-08) siguen abiertos con plan: corrección en la sesión 14 y reejecución de CP-034 y CP-025 en la 15.</w:t>
            </w:r>
          </w:p>
        </w:tc>
      </w:tr>
      <w:t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del equipo: apto con condiciones. Los criterios se cumplen, salvo el primero, que queda parcial hasta ejecutar CP-014 y CP-015 en Railway, y el segundo, que se cumple solo porque los defectos altos tienen un plan, no porque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nueve casos fallidos.</w:t>
            </w:r>
          </w:p>
        </w:tc>
      </w:tr>
    </w:tbl>
    <w:p>
      <w:pPr>
        <w:spacing w:after="40"/>
      </w:pPr>
      <w:r>
        <w:rPr>
          <w:b/>
          <w:i w:val="0"/>
          <w:sz w:val="22"/>
        </w:rPr>
        <w:t>Riesgos residuales.</w:t>
      </w:r>
    </w:p>
    <w:p>
      <w:pPr>
        <w:spacing w:after="120"/>
      </w:pPr>
      <w:r>
        <w:rPr>
          <w:b w:val="0"/>
          <w:i w:val="0"/>
          <w:sz w:val="21"/>
        </w:rPr>
        <w:t>CP-014 y CP-015 dependen de la configuración de Google en el entorno; en la ejecución automatizada no hay credenciales, así que su resultado solo puede confirmarse a mano en Railway. 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al automatizarlas pudimos fijar el reloj del navegador y prepararlas sin esperar.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La automatización de esta misma entrega ya nos deja la base: la suite corre sola con Playwright. Para el Entregable 3 priorizamos estos casos por riesgo, repetición y estabilidad.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5216"/>
            <w:shd w:val="clear" w:color="auto" w:fill="0F766E"/>
            <w:tcMar>
              <w:top w:w="40" w:type="dxa"/>
              <w:bottom w:w="40" w:type="dxa"/>
              <w:start w:w="80" w:type="dxa"/>
              <w:end w:w="80" w:type="dxa"/>
            </w:tcMar>
          </w:tcPr>
          <w:p>
            <w:pPr>
              <w:jc w:val="center"/>
            </w:pPr>
            <w:r/>
            <w:r>
              <w:rPr>
                <w:b/>
                <w:color w:val="FFFFFF"/>
                <w:sz w:val="17"/>
              </w:rPr>
              <w:t>Verificación</w:t>
            </w:r>
          </w:p>
        </w:tc>
        <w:tc>
          <w:tcPr>
            <w:tcW w:type="dxa" w:w="794"/>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c>
          <w:tcPr>
            <w:tcW w:type="dxa" w:w="567"/>
            <w:tcMar>
              <w:top w:w="40" w:type="dxa"/>
              <w:bottom w:w="40" w:type="dxa"/>
              <w:start w:w="80" w:type="dxa"/>
              <w:end w:w="80" w:type="dxa"/>
            </w:tcMar>
          </w:tcPr>
          <w:p>
            <w:r/>
            <w:r>
              <w:rPr>
                <w:b w:val="0"/>
                <w:sz w:val="17"/>
              </w:rPr>
              <w:t>1</w:t>
            </w:r>
          </w:p>
        </w:tc>
        <w:tc>
          <w:tcPr>
            <w:tcW w:type="dxa" w:w="5216"/>
            <w:tcMar>
              <w:top w:w="40" w:type="dxa"/>
              <w:bottom w:w="40" w:type="dxa"/>
              <w:start w:w="80" w:type="dxa"/>
              <w:end w:w="80" w:type="dxa"/>
            </w:tcMar>
          </w:tcPr>
          <w:p>
            <w:r/>
            <w:r>
              <w:rPr>
                <w:b w:val="0"/>
                <w:sz w:val="17"/>
              </w:rPr>
              <w:t>Tabla de reparto firmada después de la portada.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Página de reparto</w:t>
            </w:r>
          </w:p>
        </w:tc>
      </w:tr>
      <w:tr>
        <w:tc>
          <w:tcPr>
            <w:tcW w:type="dxa" w:w="567"/>
            <w:shd w:val="clear" w:color="auto" w:fill="F3F4F6"/>
            <w:tcMar>
              <w:top w:w="40" w:type="dxa"/>
              <w:bottom w:w="40" w:type="dxa"/>
              <w:start w:w="80" w:type="dxa"/>
              <w:end w:w="80" w:type="dxa"/>
            </w:tcMar>
          </w:tcPr>
          <w:p>
            <w:r/>
            <w:r>
              <w:rPr>
                <w:b w:val="0"/>
                <w:sz w:val="17"/>
              </w:rPr>
              <w:t>2</w:t>
            </w:r>
          </w:p>
        </w:tc>
        <w:tc>
          <w:tcPr>
            <w:tcW w:type="dxa" w:w="521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c>
          <w:tcPr>
            <w:tcW w:type="dxa" w:w="567"/>
            <w:tcMar>
              <w:top w:w="40" w:type="dxa"/>
              <w:bottom w:w="40" w:type="dxa"/>
              <w:start w:w="80" w:type="dxa"/>
              <w:end w:w="80" w:type="dxa"/>
            </w:tcMar>
          </w:tcPr>
          <w:p>
            <w:r/>
            <w:r>
              <w:rPr>
                <w:b w:val="0"/>
                <w:sz w:val="17"/>
              </w:rPr>
              <w:t>3</w:t>
            </w:r>
          </w:p>
        </w:tc>
        <w:tc>
          <w:tcPr>
            <w:tcW w:type="dxa" w:w="5216"/>
            <w:tcMar>
              <w:top w:w="40" w:type="dxa"/>
              <w:bottom w:w="40" w:type="dxa"/>
              <w:start w:w="80" w:type="dxa"/>
              <w:end w:w="80" w:type="dxa"/>
            </w:tcMar>
          </w:tcPr>
          <w:p>
            <w:r/>
            <w:r>
              <w:rPr>
                <w:b w:val="0"/>
                <w:sz w:val="17"/>
              </w:rPr>
              <w:t>Los cambios a la suite del Entregable 1 están listados con su razón.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c>
          <w:tcPr>
            <w:tcW w:type="dxa" w:w="567"/>
            <w:shd w:val="clear" w:color="auto" w:fill="F3F4F6"/>
            <w:tcMar>
              <w:top w:w="40" w:type="dxa"/>
              <w:bottom w:w="40" w:type="dxa"/>
              <w:start w:w="80" w:type="dxa"/>
              <w:end w:w="80" w:type="dxa"/>
            </w:tcMar>
          </w:tcPr>
          <w:p>
            <w:r/>
            <w:r>
              <w:rPr>
                <w:b w:val="0"/>
                <w:sz w:val="17"/>
              </w:rPr>
              <w:t>4</w:t>
            </w:r>
          </w:p>
        </w:tc>
        <w:tc>
          <w:tcPr>
            <w:tcW w:type="dxa" w:w="5216"/>
            <w:shd w:val="clear" w:color="auto" w:fill="F3F4F6"/>
            <w:tcMar>
              <w:top w:w="40" w:type="dxa"/>
              <w:bottom w:w="40" w:type="dxa"/>
              <w:start w:w="80" w:type="dxa"/>
              <w:end w:w="80" w:type="dxa"/>
            </w:tcMar>
          </w:tcPr>
          <w:p>
            <w:r/>
            <w:r>
              <w:rPr>
                <w:b w:val="0"/>
                <w:sz w:val="17"/>
              </w:rPr>
              <w:t>El ciclo 1 cubre toda la suite; el ciclo 2, lo fallido y el riesgo alto (ver nota de Firefox).</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3</w:t>
            </w:r>
          </w:p>
        </w:tc>
      </w:tr>
      <w:tr>
        <w:tc>
          <w:tcPr>
            <w:tcW w:type="dxa" w:w="567"/>
            <w:tcMar>
              <w:top w:w="40" w:type="dxa"/>
              <w:bottom w:w="40" w:type="dxa"/>
              <w:start w:w="80" w:type="dxa"/>
              <w:end w:w="80" w:type="dxa"/>
            </w:tcMar>
          </w:tcPr>
          <w:p>
            <w:r/>
            <w:r>
              <w:rPr>
                <w:b w:val="0"/>
                <w:sz w:val="17"/>
              </w:rPr>
              <w:t>5</w:t>
            </w:r>
          </w:p>
        </w:tc>
        <w:tc>
          <w:tcPr>
            <w:tcW w:type="dxa" w:w="5216"/>
            <w:tcMar>
              <w:top w:w="40" w:type="dxa"/>
              <w:bottom w:w="40" w:type="dxa"/>
              <w:start w:w="80" w:type="dxa"/>
              <w:end w:w="80" w:type="dxa"/>
            </w:tcMar>
          </w:tcPr>
          <w:p>
            <w:r/>
            <w:r>
              <w:rPr>
                <w:b w:val="0"/>
                <w:sz w:val="17"/>
              </w:rPr>
              <w:t>Cada ejecución tiene estado, entorno, versión, fecha y ejecutor.</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Hoja de registro (xlsx)</w:t>
            </w:r>
          </w:p>
        </w:tc>
      </w:tr>
      <w:tr>
        <w:tc>
          <w:tcPr>
            <w:tcW w:type="dxa" w:w="567"/>
            <w:shd w:val="clear" w:color="auto" w:fill="F3F4F6"/>
            <w:tcMar>
              <w:top w:w="40" w:type="dxa"/>
              <w:bottom w:w="40" w:type="dxa"/>
              <w:start w:w="80" w:type="dxa"/>
              <w:end w:w="80" w:type="dxa"/>
            </w:tcMar>
          </w:tcPr>
          <w:p>
            <w:r/>
            <w:r>
              <w:rPr>
                <w:b w:val="0"/>
                <w:sz w:val="17"/>
              </w:rPr>
              <w:t>6</w:t>
            </w:r>
          </w:p>
        </w:tc>
        <w:tc>
          <w:tcPr>
            <w:tcW w:type="dxa" w:w="5216"/>
            <w:shd w:val="clear" w:color="auto" w:fill="F3F4F6"/>
            <w:tcMar>
              <w:top w:w="40" w:type="dxa"/>
              <w:bottom w:w="40" w:type="dxa"/>
              <w:start w:w="80" w:type="dxa"/>
              <w:end w:w="80" w:type="dxa"/>
            </w:tcMar>
          </w:tcPr>
          <w:p>
            <w:r/>
            <w:r>
              <w:rPr>
                <w:b w:val="0"/>
                <w:sz w:val="17"/>
              </w:rPr>
              <w:t>Ningún caso bloqueado está registrado como fallido.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CP-014 y CP-015 como «Bloqueado»</w:t>
            </w:r>
          </w:p>
        </w:tc>
      </w:tr>
      <w:tr>
        <w:tc>
          <w:tcPr>
            <w:tcW w:type="dxa" w:w="567"/>
            <w:tcMar>
              <w:top w:w="40" w:type="dxa"/>
              <w:bottom w:w="40" w:type="dxa"/>
              <w:start w:w="80" w:type="dxa"/>
              <w:end w:w="80" w:type="dxa"/>
            </w:tcMar>
          </w:tcPr>
          <w:p>
            <w:r/>
            <w:r>
              <w:rPr>
                <w:b w:val="0"/>
                <w:sz w:val="17"/>
              </w:rPr>
              <w:t>7</w:t>
            </w:r>
          </w:p>
        </w:tc>
        <w:tc>
          <w:tcPr>
            <w:tcW w:type="dxa" w:w="5216"/>
            <w:tcMar>
              <w:top w:w="40" w:type="dxa"/>
              <w:bottom w:w="40" w:type="dxa"/>
              <w:start w:w="80" w:type="dxa"/>
              <w:end w:w="80" w:type="dxa"/>
            </w:tcMar>
          </w:tcPr>
          <w:p>
            <w:r/>
            <w:r>
              <w:rPr>
                <w:b w:val="0"/>
                <w:sz w:val="17"/>
              </w:rPr>
              <w:t>Cada integrante ejecutó al menos seis casos.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 (17 y 17)</w:t>
            </w:r>
          </w:p>
        </w:tc>
      </w:tr>
      <w:tr>
        <w:tc>
          <w:tcPr>
            <w:tcW w:type="dxa" w:w="567"/>
            <w:shd w:val="clear" w:color="auto" w:fill="F3F4F6"/>
            <w:tcMar>
              <w:top w:w="40" w:type="dxa"/>
              <w:bottom w:w="40" w:type="dxa"/>
              <w:start w:w="80" w:type="dxa"/>
              <w:end w:w="80" w:type="dxa"/>
            </w:tcMar>
          </w:tcPr>
          <w:p>
            <w:r/>
            <w:r>
              <w:rPr>
                <w:b w:val="0"/>
                <w:sz w:val="17"/>
              </w:rPr>
              <w:t>8</w:t>
            </w:r>
          </w:p>
        </w:tc>
        <w:tc>
          <w:tcPr>
            <w:tcW w:type="dxa" w:w="5216"/>
            <w:shd w:val="clear" w:color="auto" w:fill="F3F4F6"/>
            <w:tcMar>
              <w:top w:w="40" w:type="dxa"/>
              <w:bottom w:w="40" w:type="dxa"/>
              <w:start w:w="80" w:type="dxa"/>
              <w:end w:w="80" w:type="dxa"/>
            </w:tcMar>
          </w:tcPr>
          <w:p>
            <w:r/>
            <w:r>
              <w:rPr>
                <w:b w:val="0"/>
                <w:sz w:val="17"/>
              </w:rPr>
              <w:t>Hay diez defectos o más, con todos los campos.</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4 y Anexo C (14 defectos)</w:t>
            </w:r>
          </w:p>
        </w:tc>
      </w:tr>
      <w:tr>
        <w:tc>
          <w:tcPr>
            <w:tcW w:type="dxa" w:w="567"/>
            <w:tcMar>
              <w:top w:w="40" w:type="dxa"/>
              <w:bottom w:w="40" w:type="dxa"/>
              <w:start w:w="80" w:type="dxa"/>
              <w:end w:w="80" w:type="dxa"/>
            </w:tcMar>
          </w:tcPr>
          <w:p>
            <w:r/>
            <w:r>
              <w:rPr>
                <w:b w:val="0"/>
                <w:sz w:val="17"/>
              </w:rPr>
              <w:t>9</w:t>
            </w:r>
          </w:p>
        </w:tc>
        <w:tc>
          <w:tcPr>
            <w:tcW w:type="dxa" w:w="5216"/>
            <w:tcMar>
              <w:top w:w="40" w:type="dxa"/>
              <w:bottom w:w="40" w:type="dxa"/>
              <w:start w:w="80" w:type="dxa"/>
              <w:end w:w="80" w:type="dxa"/>
            </w:tcMar>
          </w:tcPr>
          <w:p>
            <w:r/>
            <w:r>
              <w:rPr>
                <w:b w:val="0"/>
                <w:sz w:val="17"/>
              </w:rPr>
              <w:t>Cada integrante reportó al menos dos defectos.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c>
          <w:tcPr>
            <w:tcW w:type="dxa" w:w="567"/>
            <w:shd w:val="clear" w:color="auto" w:fill="F3F4F6"/>
            <w:tcMar>
              <w:top w:w="40" w:type="dxa"/>
              <w:bottom w:w="40" w:type="dxa"/>
              <w:start w:w="80" w:type="dxa"/>
              <w:end w:w="80" w:type="dxa"/>
            </w:tcMar>
          </w:tcPr>
          <w:p>
            <w:r/>
            <w:r>
              <w:rPr>
                <w:b w:val="0"/>
                <w:sz w:val="17"/>
              </w:rPr>
              <w:t>10</w:t>
            </w:r>
          </w:p>
        </w:tc>
        <w:tc>
          <w:tcPr>
            <w:tcW w:type="dxa" w:w="521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Columna «Origen» y Anexo C</w:t>
            </w:r>
          </w:p>
        </w:tc>
      </w:tr>
      <w:tr>
        <w:tc>
          <w:tcPr>
            <w:tcW w:type="dxa" w:w="567"/>
            <w:tcMar>
              <w:top w:w="40" w:type="dxa"/>
              <w:bottom w:w="40" w:type="dxa"/>
              <w:start w:w="80" w:type="dxa"/>
              <w:end w:w="80" w:type="dxa"/>
            </w:tcMar>
          </w:tcPr>
          <w:p>
            <w:r/>
            <w:r>
              <w:rPr>
                <w:b w:val="0"/>
                <w:sz w:val="17"/>
              </w:rPr>
              <w:t>11</w:t>
            </w:r>
          </w:p>
        </w:tc>
        <w:tc>
          <w:tcPr>
            <w:tcW w:type="dxa" w:w="5216"/>
            <w:tcMar>
              <w:top w:w="40" w:type="dxa"/>
              <w:bottom w:w="40" w:type="dxa"/>
              <w:start w:w="80" w:type="dxa"/>
              <w:end w:w="80" w:type="dxa"/>
            </w:tcMar>
          </w:tcPr>
          <w:p>
            <w:r/>
            <w:r>
              <w:rPr>
                <w:b w:val="0"/>
                <w:sz w:val="17"/>
              </w:rPr>
              <w:t>Hay una hoja de sesión exploratoria por integrante.</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5 y carpeta de evidencias</w:t>
            </w:r>
          </w:p>
        </w:tc>
      </w:tr>
      <w:tr>
        <w:tc>
          <w:tcPr>
            <w:tcW w:type="dxa" w:w="567"/>
            <w:shd w:val="clear" w:color="auto" w:fill="F3F4F6"/>
            <w:tcMar>
              <w:top w:w="40" w:type="dxa"/>
              <w:bottom w:w="40" w:type="dxa"/>
              <w:start w:w="80" w:type="dxa"/>
              <w:end w:w="80" w:type="dxa"/>
            </w:tcMar>
          </w:tcPr>
          <w:p>
            <w:r/>
            <w:r>
              <w:rPr>
                <w:b w:val="0"/>
                <w:sz w:val="17"/>
              </w:rPr>
              <w:t>12</w:t>
            </w:r>
          </w:p>
        </w:tc>
        <w:tc>
          <w:tcPr>
            <w:tcW w:type="dxa" w:w="521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6, Figura 1</w:t>
            </w:r>
          </w:p>
        </w:tc>
      </w:tr>
      <w:tr>
        <w:tc>
          <w:tcPr>
            <w:tcW w:type="dxa" w:w="567"/>
            <w:tcMar>
              <w:top w:w="40" w:type="dxa"/>
              <w:bottom w:w="40" w:type="dxa"/>
              <w:start w:w="80" w:type="dxa"/>
              <w:end w:w="80" w:type="dxa"/>
            </w:tcMar>
          </w:tcPr>
          <w:p>
            <w:r/>
            <w:r>
              <w:rPr>
                <w:b w:val="0"/>
                <w:sz w:val="17"/>
              </w:rPr>
              <w:t>13</w:t>
            </w:r>
          </w:p>
        </w:tc>
        <w:tc>
          <w:tcPr>
            <w:tcW w:type="dxa" w:w="5216"/>
            <w:tcMar>
              <w:top w:w="40" w:type="dxa"/>
              <w:bottom w:w="40" w:type="dxa"/>
              <w:start w:w="80" w:type="dxa"/>
              <w:end w:w="80" w:type="dxa"/>
            </w:tcMar>
          </w:tcPr>
          <w:p>
            <w:r/>
            <w:r>
              <w:rPr>
                <w:b w:val="0"/>
                <w:sz w:val="17"/>
              </w:rPr>
              <w:t>Los criterios de salida se revisan uno por uno.</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c>
          <w:tcPr>
            <w:tcW w:type="dxa" w:w="567"/>
            <w:shd w:val="clear" w:color="auto" w:fill="F3F4F6"/>
            <w:tcMar>
              <w:top w:w="40" w:type="dxa"/>
              <w:bottom w:w="40" w:type="dxa"/>
              <w:start w:w="80" w:type="dxa"/>
              <w:end w:w="80" w:type="dxa"/>
            </w:tcMar>
          </w:tcPr>
          <w:p>
            <w:r/>
            <w:r>
              <w:rPr>
                <w:b w:val="0"/>
                <w:sz w:val="17"/>
              </w:rPr>
              <w:t>14</w:t>
            </w:r>
          </w:p>
        </w:tc>
        <w:tc>
          <w:tcPr>
            <w:tcW w:type="dxa" w:w="5216"/>
            <w:shd w:val="clear" w:color="auto" w:fill="F3F4F6"/>
            <w:tcMar>
              <w:top w:w="40" w:type="dxa"/>
              <w:bottom w:w="40" w:type="dxa"/>
              <w:start w:w="80" w:type="dxa"/>
              <w:end w:w="80" w:type="dxa"/>
            </w:tcMar>
          </w:tcPr>
          <w:p>
            <w:r/>
            <w:r>
              <w:rPr>
                <w:b w:val="0"/>
                <w:sz w:val="17"/>
              </w:rPr>
              <w:t>La recomendación es explícita.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c>
          <w:tcPr>
            <w:tcW w:type="dxa" w:w="567"/>
            <w:tcMar>
              <w:top w:w="40" w:type="dxa"/>
              <w:bottom w:w="40" w:type="dxa"/>
              <w:start w:w="80" w:type="dxa"/>
              <w:end w:w="80" w:type="dxa"/>
            </w:tcMar>
          </w:tcPr>
          <w:p>
            <w:r/>
            <w:r>
              <w:rPr>
                <w:b w:val="0"/>
                <w:sz w:val="17"/>
              </w:rPr>
              <w:t>15</w:t>
            </w:r>
          </w:p>
        </w:tc>
        <w:tc>
          <w:tcPr>
            <w:tcW w:type="dxa" w:w="5216"/>
            <w:tcMar>
              <w:top w:w="40" w:type="dxa"/>
              <w:bottom w:w="40" w:type="dxa"/>
              <w:start w:w="80" w:type="dxa"/>
              <w:end w:w="80" w:type="dxa"/>
            </w:tcMar>
          </w:tcPr>
          <w:p>
            <w:r/>
            <w:r>
              <w:rPr>
                <w:b w:val="0"/>
                <w:sz w:val="17"/>
              </w:rPr>
              <w:t>Los archivos tienen los nombres pedidos y los enlaces abren.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Portada</w:t>
            </w:r>
          </w:p>
        </w:tc>
      </w:tr>
    </w:tbl>
    <w:p>
      <w:r>
        <w:br w:type="page"/>
      </w:r>
    </w:p>
    <w:p>
      <w:pPr>
        <w:pStyle w:val="Heading1"/>
      </w:pPr>
      <w:r>
        <w:t>Anexo C. Reportes completos de defectos</w:t>
      </w:r>
    </w:p>
    <w:p>
      <w:pPr>
        <w:spacing w:after="120"/>
      </w:pPr>
      <w:r>
        <w:rPr>
          <w:b w:val="0"/>
          <w:i/>
          <w:sz w:val="20"/>
        </w:rPr>
        <w:t>Entorno común salvo que se diga otra cosa: Chromium 141 · ConectaProfe en Railway, commit 693358a · ejecución automatizada con Playwright. Las cuentas de semilla usan la contraseña «123456»; el administrador es la cuenta de pruebas del equipo. Cuando un paso dice «consola», es la de las herramientas del navegador (F12), donde se pega el fetch con el token de la sesión.</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DEF-03 · La foto de 2,5 MB no se rechaza: la interfaz la reduce y la guarda sin avisar del límite de 2 MB</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interfaz envió la foto: POST /api/perfil/foto → 200 {"mensaje":"Foto guardada"}. Lo enviado pesa unos 48 KB (la original pesa 2.50 MB): se redujo antes de enviarla. La foto no aparece en el perfil y no se muestra ningún aviso del límite de 2 MB (el elemento #tostada tiene el texto «✅ Foto de perfil actualizada»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DEF-04 · El acceso se bloquea después de cinco intentos fallidos y no después de tres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Los tres intentos con «Incorrecta123» respondieron 401, 401, 401. El cuarto, con la clave correcta, respondió 200 y abrió «Mi Panel»: no hubo bloqueo.</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EV-CP013-C1-02.png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DEF-05 · El HTML escrito en las observaciones de una tutoría se ejecutaba al abrir ese día en el calendario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Sobre la versión 693358a el texto se ve literal en «Sesiones del día» y no se ejecuta nada (la salida pasa por escaparHtml). Antes de la corrección del 29/09 aparecía la ventana del navegador con «XSS-DEF05».</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(comportamiento estable)</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spacing w:after="80"/>
      </w:pPr>
      <w:r>
        <w:rPr>
          <w:b w:val="0"/>
          <w:i/>
          <w:sz w:val="19"/>
        </w:rPr>
        <w:t>Nota: En la base, la observación quedó guardada como «&lt;img src=x onerror="alert('XSS-DEF05')"&gt;».</w:t>
      </w:r>
    </w:p>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DEF-09 · Un estudiante queda con dos tutorías a la misma fecha y hora con docentes distintos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Primera (Andrés López Castillo): 201. Segunda (Sandra Ríos Montoya, misma fecha y hora): 201 {"mensaje":"Tutoría programada","id":8}. En «Mis Tutorías Programadas» hay 2 tarjeta(s) el 01/04/2027 a las 09:00.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DEF-10 · La API guarda tutorías con fechas y horas que no existen («2027-13-45», «mañana»,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Las dos peticiones respondieron 201 {"mensaje":"Tutoría programada","id":3} y 201 {"mensaje":"Tutoría programada","id":4}. El servidor guarda fecha «2027-13-45» y hora «25:99» sin validar que existan; solo se llega por la API.</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DEF-12 · La auditoría y el historial de notificaciones muestran la hora 5 horas adelantada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primera fila es «07/10/2026 21:13 · admin.equipof@amigo.edu.co · 🔑 Login»: fecha legible y tipo correcto. El inicio de sesión se hizo a las 16:13 (hora de Colombia) y la tabla muestra 21:13: 5 horas de diferencia.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