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3C4" w:rsidRDefault="00337BA2">
      <w:pPr>
        <w:pStyle w:val="Title"/>
      </w:pPr>
      <w:r>
        <w:t>Reassessing the evidence for universal school-age Bacillus Calmette Guerin (BCG) vaccination in England and Wales: re-evaluating and updating a modelling study</w:t>
      </w:r>
    </w:p>
    <w:p w:rsidR="004313C4" w:rsidRDefault="00337BA2">
      <w:pPr>
        <w:pStyle w:val="Author"/>
      </w:pPr>
      <w:r>
        <w:t>Sam Abbott, Hannah Christensen, Ellen Brooks-Pollock</w:t>
      </w:r>
    </w:p>
    <w:p w:rsidR="004313C4" w:rsidRDefault="00337BA2">
      <w:pPr>
        <w:pStyle w:val="FirstParagraph"/>
      </w:pPr>
      <w:r>
        <w:rPr>
          <w:b/>
        </w:rPr>
        <w:t>Authors:</w:t>
      </w:r>
    </w:p>
    <w:p w:rsidR="004313C4" w:rsidRDefault="00337BA2">
      <w:pPr>
        <w:pStyle w:val="BodyText"/>
      </w:pPr>
      <w:r>
        <w:t>Sam Abbott, Bristol Medical School: Population Health Sciences, University of Bristol, Bristol, UK</w:t>
      </w:r>
    </w:p>
    <w:p w:rsidR="004313C4" w:rsidRDefault="00337BA2">
      <w:pPr>
        <w:pStyle w:val="BodyText"/>
      </w:pPr>
      <w:r>
        <w:t>Hannah Christensen, Bristol Medical School: Population Health Sciences, University of Bristol, Bristol, UK</w:t>
      </w:r>
    </w:p>
    <w:p w:rsidR="004313C4" w:rsidRDefault="00337BA2">
      <w:pPr>
        <w:pStyle w:val="BodyText"/>
      </w:pPr>
      <w:r>
        <w:t>Ellen Brooks-Pollock, Bristol Medical School: Population Health Sciences, University of Bristol, Bristol, UK</w:t>
      </w:r>
    </w:p>
    <w:p w:rsidR="004313C4" w:rsidRDefault="00337BA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rsidR="004313C4" w:rsidRDefault="00337BA2">
      <w:pPr>
        <w:pStyle w:val="BodyText"/>
      </w:pPr>
      <w:r>
        <w:rPr>
          <w:b/>
        </w:rPr>
        <w:t>Words:</w:t>
      </w:r>
      <w:r>
        <w:t xml:space="preserve"> </w:t>
      </w:r>
      <w:r>
        <w:rPr>
          <w:i/>
        </w:rPr>
        <w:t>Title:</w:t>
      </w:r>
      <w:r>
        <w:t xml:space="preserve"> 21 </w:t>
      </w:r>
      <w:r>
        <w:rPr>
          <w:i/>
        </w:rPr>
        <w:t>Abstract:</w:t>
      </w:r>
      <w:r>
        <w:t xml:space="preserve"> 29</w:t>
      </w:r>
      <w:r w:rsidR="00410E10">
        <w:t>9</w:t>
      </w:r>
      <w:r>
        <w:t xml:space="preserve"> </w:t>
      </w:r>
      <w:r>
        <w:rPr>
          <w:i/>
        </w:rPr>
        <w:t>Paper:</w:t>
      </w:r>
      <w:r>
        <w:t xml:space="preserve"> </w:t>
      </w:r>
      <w:r w:rsidR="00410E10">
        <w:t>4000</w:t>
      </w:r>
    </w:p>
    <w:p w:rsidR="004313C4" w:rsidRDefault="00337BA2">
      <w:pPr>
        <w:pStyle w:val="Heading1"/>
      </w:pPr>
      <w:bookmarkStart w:id="0" w:name="abstract"/>
      <w:bookmarkEnd w:id="0"/>
      <w:r>
        <w:t>Abstract</w:t>
      </w:r>
    </w:p>
    <w:p w:rsidR="004313C4" w:rsidRDefault="00337BA2">
      <w:pPr>
        <w:pStyle w:val="Heading2"/>
      </w:pPr>
      <w:bookmarkStart w:id="1" w:name="objectives"/>
      <w:bookmarkEnd w:id="1"/>
      <w:r>
        <w:t>Objectives</w:t>
      </w:r>
    </w:p>
    <w:p w:rsidR="004313C4" w:rsidRDefault="00337BA2">
      <w:pPr>
        <w:pStyle w:val="FirstParagraph"/>
      </w:pPr>
      <w:r>
        <w:t>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rsidR="004313C4" w:rsidRDefault="00337BA2">
      <w:pPr>
        <w:pStyle w:val="Heading2"/>
      </w:pPr>
      <w:bookmarkStart w:id="2" w:name="design"/>
      <w:bookmarkEnd w:id="2"/>
      <w:r>
        <w:t>Design</w:t>
      </w:r>
    </w:p>
    <w:p w:rsidR="004313C4" w:rsidRDefault="00337BA2">
      <w:pPr>
        <w:pStyle w:val="FirstParagraph"/>
      </w:pPr>
      <w:r>
        <w:t>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rsidR="004313C4" w:rsidRDefault="00337BA2">
      <w:pPr>
        <w:pStyle w:val="Heading2"/>
      </w:pPr>
      <w:bookmarkStart w:id="3" w:name="setting"/>
      <w:bookmarkEnd w:id="3"/>
      <w:r>
        <w:t>Setting</w:t>
      </w:r>
    </w:p>
    <w:p w:rsidR="004313C4" w:rsidRDefault="00337BA2">
      <w:pPr>
        <w:pStyle w:val="FirstParagraph"/>
      </w:pPr>
      <w:r>
        <w:t>England and Wales.</w:t>
      </w:r>
    </w:p>
    <w:p w:rsidR="004313C4" w:rsidRDefault="00337BA2">
      <w:pPr>
        <w:pStyle w:val="Heading2"/>
      </w:pPr>
      <w:bookmarkStart w:id="4" w:name="outcome-measures"/>
      <w:bookmarkEnd w:id="4"/>
      <w:r>
        <w:lastRenderedPageBreak/>
        <w:t>Outcome measures</w:t>
      </w:r>
    </w:p>
    <w:p w:rsidR="004313C4" w:rsidRDefault="00337BA2">
      <w:pPr>
        <w:pStyle w:val="FirstParagraph"/>
      </w:pPr>
      <w:r>
        <w:t>The number of vaccines needed to prevent a single notification, and the average annual additional notifications caused by ending the policy change.</w:t>
      </w:r>
    </w:p>
    <w:p w:rsidR="00410E10" w:rsidRDefault="00410E10" w:rsidP="00410E10">
      <w:pPr>
        <w:pStyle w:val="Heading2"/>
      </w:pPr>
      <w:bookmarkStart w:id="5" w:name="results-copy-from-bottom"/>
      <w:bookmarkStart w:id="6" w:name="conclusions"/>
      <w:bookmarkEnd w:id="5"/>
      <w:bookmarkEnd w:id="6"/>
      <w:r>
        <w:t>Results</w:t>
      </w:r>
    </w:p>
    <w:p w:rsidR="00410E10" w:rsidRDefault="00410E10" w:rsidP="00410E10">
      <w:pPr>
        <w:pStyle w:val="FirstParagraph"/>
      </w:pPr>
      <w:r>
        <w:t>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rsidR="004313C4" w:rsidRDefault="00337BA2">
      <w:pPr>
        <w:pStyle w:val="Heading2"/>
      </w:pPr>
      <w:r>
        <w:t>Conclusions</w:t>
      </w:r>
    </w:p>
    <w:p w:rsidR="004313C4" w:rsidRDefault="00337BA2">
      <w:pPr>
        <w:pStyle w:val="FirstParagraph"/>
      </w:pPr>
      <w:r>
        <w:t>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rsidR="004313C4" w:rsidRDefault="00337BA2">
      <w:pPr>
        <w:pStyle w:val="Heading1"/>
      </w:pPr>
      <w:bookmarkStart w:id="7" w:name="strengths-and-limitations-of-this-study"/>
      <w:bookmarkEnd w:id="7"/>
      <w:r>
        <w:t>Strengths and limitations of this study</w:t>
      </w:r>
    </w:p>
    <w:p w:rsidR="004313C4" w:rsidRDefault="00337BA2">
      <w:pPr>
        <w:numPr>
          <w:ilvl w:val="0"/>
          <w:numId w:val="15"/>
        </w:numPr>
      </w:pPr>
      <w:r>
        <w:t>This study reevaluates a key piece of the quantitative evidence used to motivate the change in BCG vaccination policy in 2005, correcting a methodological flaw in the original model.</w:t>
      </w:r>
    </w:p>
    <w:p w:rsidR="004313C4" w:rsidRDefault="00337BA2">
      <w:pPr>
        <w:numPr>
          <w:ilvl w:val="0"/>
          <w:numId w:val="15"/>
        </w:numPr>
      </w:pPr>
      <w:r>
        <w:t>The inclusion of parameter uncertainty, and measurement error, allowed the uncertainty in the final estimates to be presented. Previously published estimates may have been spuriously precise.</w:t>
      </w:r>
    </w:p>
    <w:p w:rsidR="004313C4" w:rsidRDefault="00337BA2">
      <w:pPr>
        <w:numPr>
          <w:ilvl w:val="0"/>
          <w:numId w:val="15"/>
        </w:numPr>
      </w:pPr>
      <w:r>
        <w:t>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rsidR="004313C4" w:rsidRDefault="00337BA2">
      <w:pPr>
        <w:numPr>
          <w:ilvl w:val="0"/>
          <w:numId w:val="15"/>
        </w:numPr>
      </w:pPr>
      <w:r>
        <w:t>A weakness of the modelling framework used in this study is that it did not include the whole population or age groups outside those directly affected by vaccination. The exclusion of these factors means that our results are conservative.</w:t>
      </w:r>
    </w:p>
    <w:p w:rsidR="004313C4" w:rsidRDefault="00337BA2">
      <w:pPr>
        <w:numPr>
          <w:ilvl w:val="0"/>
          <w:numId w:val="15"/>
        </w:numPr>
      </w:pPr>
      <w:r>
        <w:t>This study only considered the impact of ending the BCG schools scheme and not the impact of the introduction of the targeted neonatal vaccination program. This should be considered when evaluating the change in policy as a whole.</w:t>
      </w:r>
    </w:p>
    <w:p w:rsidR="00410E10" w:rsidRDefault="00410E10" w:rsidP="00410E10"/>
    <w:p w:rsidR="00410E10" w:rsidRDefault="00410E10" w:rsidP="00410E10">
      <w:pPr>
        <w:rPr>
          <w:rFonts w:ascii="Arial" w:hAnsi="Arial" w:cs="Arial"/>
          <w:color w:val="606060"/>
          <w:sz w:val="21"/>
          <w:szCs w:val="21"/>
          <w:shd w:val="clear" w:color="auto" w:fill="FFFFFF"/>
        </w:rPr>
      </w:pPr>
      <w:r w:rsidRPr="00EE3148">
        <w:rPr>
          <w:rFonts w:ascii="Arial" w:hAnsi="Arial" w:cs="Arial"/>
          <w:color w:val="606060"/>
          <w:sz w:val="21"/>
          <w:szCs w:val="21"/>
          <w:shd w:val="clear" w:color="auto" w:fill="FFFFFF"/>
        </w:rPr>
        <w:lastRenderedPageBreak/>
        <w:t xml:space="preserve">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 details of these </w:t>
      </w:r>
      <w:proofErr w:type="spellStart"/>
      <w:r w:rsidRPr="00EE3148">
        <w:rPr>
          <w:rFonts w:ascii="Arial" w:hAnsi="Arial" w:cs="Arial"/>
          <w:color w:val="606060"/>
          <w:sz w:val="21"/>
          <w:szCs w:val="21"/>
          <w:shd w:val="clear" w:color="auto" w:fill="FFFFFF"/>
        </w:rPr>
        <w:t>licences</w:t>
      </w:r>
      <w:proofErr w:type="spellEnd"/>
      <w:r w:rsidRPr="00EE3148">
        <w:rPr>
          <w:rFonts w:ascii="Arial" w:hAnsi="Arial" w:cs="Arial"/>
          <w:color w:val="606060"/>
          <w:sz w:val="21"/>
          <w:szCs w:val="21"/>
          <w:shd w:val="clear" w:color="auto" w:fill="FFFFFF"/>
        </w:rPr>
        <w:t xml:space="preserve">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will apply to this Work are set out in our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referred to above.</w:t>
      </w:r>
    </w:p>
    <w:p w:rsidR="00410E10" w:rsidRDefault="00410E10" w:rsidP="00410E10">
      <w:pPr>
        <w:pStyle w:val="BodyText"/>
        <w:rPr>
          <w:shd w:val="clear" w:color="auto" w:fill="FFFFFF"/>
        </w:rPr>
      </w:pPr>
      <w:r>
        <w:rPr>
          <w:shd w:val="clear" w:color="auto" w:fill="FFFFFF"/>
        </w:rPr>
        <w:br w:type="page"/>
      </w:r>
    </w:p>
    <w:p w:rsidR="004313C4" w:rsidRDefault="00337BA2">
      <w:pPr>
        <w:pStyle w:val="Heading1"/>
      </w:pPr>
      <w:bookmarkStart w:id="8" w:name="introduction"/>
      <w:bookmarkEnd w:id="8"/>
      <w:r>
        <w:lastRenderedPageBreak/>
        <w:t>Introduction</w:t>
      </w:r>
    </w:p>
    <w:p w:rsidR="004313C4" w:rsidRDefault="00337BA2">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rsidR="004313C4" w:rsidRDefault="00337BA2">
      <w:pPr>
        <w:pStyle w:val="BodyText"/>
      </w:pPr>
      <w:r>
        <w:t>In England and Wales, universal school-aged (at 13-14 years old) vaccination (hereafter referred to as the BCG schools scheme) was introduced after a MRC trial in the 1950s estimated BCG’s effectiveness at 80% in the ethnic White UK born population.[9] 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born,[10] and modelling evidence that suggested stopping the BCG schools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rsidR="004313C4" w:rsidRDefault="00337BA2">
      <w:pPr>
        <w:pStyle w:val="BodyText"/>
      </w:pPr>
      <w:r>
        <w:t>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paper aims to re-evaluate this modelling, and re-estimate the predicted impact of stopping the schools scheme. Re-evaluating this work allows for the strength of the evidence used in decision making to be assessed and may highlight any issues with the approach used.</w:t>
      </w:r>
    </w:p>
    <w:p w:rsidR="004313C4" w:rsidRDefault="00337BA2">
      <w:pPr>
        <w:pStyle w:val="Heading1"/>
      </w:pPr>
      <w:bookmarkStart w:id="9" w:name="methods"/>
      <w:bookmarkEnd w:id="9"/>
      <w:r>
        <w:t>Methods</w:t>
      </w:r>
    </w:p>
    <w:p w:rsidR="004313C4" w:rsidRDefault="00337BA2">
      <w:pPr>
        <w:pStyle w:val="Heading2"/>
      </w:pPr>
      <w:bookmarkStart w:id="10" w:name="modelling-the-impact-of-ending-the-bcg-s"/>
      <w:bookmarkEnd w:id="10"/>
      <w:r>
        <w:t>Modelling the impact of ending the BCG schools scheme</w:t>
      </w:r>
    </w:p>
    <w:p w:rsidR="004313C4" w:rsidRDefault="00337BA2">
      <w:pPr>
        <w:pStyle w:val="FirstParagraph"/>
      </w:pPr>
      <w:r>
        <w:t xml:space="preserve">We implemented, and updated, Sutherland et al.’s model for estimating the impact of ending the BCG schools scheme, which is outlined briefly below.[11]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trends.[11,15] Primary impacts from ending the schools scheme, including the number of vaccines required to prevent a single notification, were estimated by calculating the difference in incidence rates between the </w:t>
      </w:r>
      <w:r>
        <w:lastRenderedPageBreak/>
        <w:t>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rsidR="004313C4" w:rsidRDefault="00337BA2">
      <w:pPr>
        <w:pStyle w:val="Heading3"/>
      </w:pPr>
      <w:bookmarkStart w:id="11" w:name="estimating-notification-rates"/>
      <w:bookmarkEnd w:id="11"/>
      <w:r>
        <w:t>Estimating notification rates</w:t>
      </w:r>
    </w:p>
    <w:p w:rsidR="004313C4" w:rsidRDefault="00337BA2">
      <w:pPr>
        <w:pStyle w:val="FirstParagraph"/>
      </w:pPr>
      <w:r>
        <w:t>The effectiveness of the BCG vaccine was originally estimated by an MRC trial in 1953 at 78% in the United Kingdom.[9] As a follow up to this trial members of the MRC bio-statistics unit conducted a series of notification surveys attempting to ascertain any change in effectiveness, as well as acting as an estimate of notification rates across different demographics.[14] 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rsidR="004313C4" w:rsidRDefault="00337BA2">
      <w:pPr>
        <w:pStyle w:val="BodyText"/>
      </w:pPr>
      <w:r>
        <w:t>For 1983 this corresponded to 874 notifications in 15-24 year old ethnic White UK born persons in England and Wales; survey participation was 80%. As the number of Tuberculin negative subjects not given BCG was unreported this was estimated at 1.9% of those vaccinated with the BCG.[14] See [14] 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high.[11,15]</w:t>
      </w:r>
    </w:p>
    <w:p w:rsidR="004313C4" w:rsidRDefault="00337BA2">
      <w:pPr>
        <w:pStyle w:val="BodyText"/>
      </w:pPr>
      <w:r>
        <w:t>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rsidR="004313C4" w:rsidRDefault="00337BA2">
      <w:pPr>
        <w:pStyle w:val="Heading3"/>
      </w:pPr>
      <w:bookmarkStart w:id="12" w:name="construction-of-forward-estimates"/>
      <w:bookmarkEnd w:id="12"/>
      <w:r>
        <w:lastRenderedPageBreak/>
        <w:t>Construction of forward estimates</w:t>
      </w:r>
    </w:p>
    <w:p w:rsidR="004313C4" w:rsidRDefault="00337BA2">
      <w:pPr>
        <w:pStyle w:val="FirstParagraph"/>
      </w:pPr>
      <w:r>
        <w:t>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rsidR="004313C4" w:rsidRDefault="00337BA2">
      <w:pPr>
        <w:pStyle w:val="BodyText"/>
      </w:pPr>
      <w:r>
        <w:t>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rsidR="004313C4" w:rsidRDefault="00337BA2">
      <w:pPr>
        <w:pStyle w:val="BodyText"/>
      </w:pPr>
      <w:r>
        <w:t>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rsidR="004313C4" w:rsidRDefault="00337BA2">
      <w:pPr>
        <w:pStyle w:val="BodyText"/>
      </w:pPr>
      <w:r>
        <w:t>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survey.[14]</w:t>
      </w:r>
    </w:p>
    <w:p w:rsidR="004313C4" w:rsidRDefault="00337BA2">
      <w:pPr>
        <w:pStyle w:val="BodyText"/>
      </w:pPr>
      <w:r>
        <w:rPr>
          <w:b/>
        </w:rPr>
        <w:t>Original transmission chain model</w:t>
      </w:r>
    </w:p>
    <w:p w:rsidR="004313C4" w:rsidRDefault="00337BA2">
      <w:pPr>
        <w:pStyle w:val="BodyText"/>
      </w:pPr>
      <w:r>
        <w:t>Sutherland et al defined their TB transmission model as follows:</w:t>
      </w:r>
    </w:p>
    <w:p w:rsidR="004313C4" w:rsidRDefault="00337BA2">
      <w:pPr>
        <w:pStyle w:val="Compact"/>
        <w:numPr>
          <w:ilvl w:val="0"/>
          <w:numId w:val="16"/>
        </w:numPr>
      </w:pPr>
      <w:r>
        <w:t>The total expected number of secondary notifications (</w:t>
      </w:r>
      <m:oMath>
        <m:r>
          <w:rPr>
            <w:rFonts w:ascii="Cambria Math" w:hAnsi="Cambria Math"/>
          </w:rPr>
          <m:t>T</m:t>
        </m:r>
      </m:oMath>
      <w:r>
        <w:t>) arising from any single primary notification was estimated as,</w:t>
      </w:r>
    </w:p>
    <w:p w:rsidR="004313C4" w:rsidRDefault="00337BA2">
      <w:pPr>
        <w:pStyle w:val="FirstParagraph"/>
      </w:pPr>
      <m:oMathPara>
        <m:oMathParaPr>
          <m:jc m:val="center"/>
        </m:oMathParaPr>
        <m:oMath>
          <m:r>
            <w:rPr>
              <w:rFonts w:ascii="Cambria Math" w:hAnsi="Cambria Math"/>
            </w:rPr>
            <m:t>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4313C4" w:rsidRDefault="00337BA2">
      <w:pPr>
        <w:pStyle w:val="FirstParagraph"/>
      </w:pPr>
      <w:r>
        <w:t xml:space="preserve">Where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4313C4" w:rsidRDefault="00337BA2">
      <w:pPr>
        <w:pStyle w:val="Compact"/>
        <w:numPr>
          <w:ilvl w:val="0"/>
          <w:numId w:val="17"/>
        </w:numPr>
      </w:pPr>
      <w:r>
        <w:lastRenderedPageBreak/>
        <w:t xml:space="preserve">The total number of notifications, </w:t>
      </w:r>
      <m:oMath>
        <m:r>
          <w:rPr>
            <w:rFonts w:ascii="Cambria Math" w:hAnsi="Cambria Math"/>
          </w:rPr>
          <m:t>T</m:t>
        </m:r>
      </m:oMath>
      <w:r>
        <w:t>, is related to the number of notifications in each generation using the initial generation size (</w:t>
      </w:r>
      <m:oMath>
        <m:r>
          <w:rPr>
            <w:rFonts w:ascii="Cambria Math" w:hAnsi="Cambria Math"/>
          </w:rPr>
          <m:t>x</m:t>
        </m:r>
      </m:oMath>
      <w:r>
        <w:t>) with the following power series,</w:t>
      </w:r>
    </w:p>
    <w:p w:rsidR="004313C4" w:rsidRDefault="00337BA2">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rsidR="004313C4" w:rsidRDefault="00337BA2">
      <w:pPr>
        <w:pStyle w:val="Compact"/>
        <w:numPr>
          <w:ilvl w:val="0"/>
          <w:numId w:val="18"/>
        </w:numPr>
      </w:pPr>
      <w:r>
        <w:t>The expected average interval between each primary notification and all secondary notifications (</w:t>
      </w:r>
      <m:oMath>
        <m:r>
          <w:rPr>
            <w:rFonts w:ascii="Cambria Math" w:hAnsi="Cambria Math"/>
          </w:rPr>
          <m:t>Z</m:t>
        </m:r>
      </m:oMath>
      <w:r>
        <w:t>) is defined to be the sum of time to all notifications, weighted by the fraction in each generation, divided by the sum of all notifications.</w:t>
      </w:r>
    </w:p>
    <w:p w:rsidR="004313C4" w:rsidRDefault="00337BA2">
      <w:pPr>
        <w:pStyle w:val="FirstParagraph"/>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rsidR="004313C4" w:rsidRDefault="00337BA2">
      <w:pPr>
        <w:pStyle w:val="FirstParagraph"/>
      </w:pPr>
      <w:r>
        <w:t xml:space="preserve">Both 2. and 3. are only valid when </w:t>
      </w:r>
      <m:oMath>
        <m:r>
          <w:rPr>
            <w:rFonts w:ascii="Cambria Math" w:hAnsi="Cambria Math"/>
          </w:rPr>
          <m:t>x&lt;1</m:t>
        </m:r>
      </m:oMath>
      <w:r>
        <w:t>.</w:t>
      </w:r>
    </w:p>
    <w:p w:rsidR="004313C4" w:rsidRDefault="00337BA2">
      <w:pPr>
        <w:pStyle w:val="BodyText"/>
      </w:pPr>
      <w:r>
        <w:rPr>
          <w:b/>
        </w:rPr>
        <w:t>Updating the transmission chain model</w:t>
      </w:r>
    </w:p>
    <w:p w:rsidR="004313C4" w:rsidRDefault="00337BA2">
      <w:pPr>
        <w:pStyle w:val="BodyText"/>
      </w:pPr>
      <w:r>
        <w:t xml:space="preserve">If we assume a constant decay rate of </w:t>
      </w:r>
      <m:oMath>
        <m:r>
          <w:rPr>
            <w:rFonts w:ascii="Cambria Math" w:hAnsi="Cambria Math"/>
          </w:rPr>
          <m:t>d</m:t>
        </m:r>
      </m:oMath>
      <w:r>
        <w:t xml:space="preserve">% per year and that 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(first generation) notifications </w:t>
      </w:r>
      <m:oMath>
        <m:r>
          <w:rPr>
            <w:rFonts w:ascii="Cambria Math" w:hAnsi="Cambria Math"/>
          </w:rPr>
          <m:t>z</m:t>
        </m:r>
      </m:oMath>
      <w:r>
        <w:t xml:space="preserve"> years later. This is therefore the initial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p>
    <w:p w:rsidR="004313C4" w:rsidRDefault="00337BA2">
      <w:pPr>
        <w:pStyle w:val="BodyText"/>
      </w:pPr>
      <m:oMathPara>
        <m:oMathParaPr>
          <m:jc m:val="center"/>
        </m:oMathParaPr>
        <m:oMath>
          <m:r>
            <w:rPr>
              <w:rFonts w:ascii="Cambria Math" w:hAnsi="Cambria Math"/>
            </w:rPr>
            <m:t>x=(1-d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4313C4" w:rsidRDefault="00337BA2">
      <w:pPr>
        <w:pStyle w:val="FirstParagraph"/>
      </w:pPr>
      <w:r>
        <w:t>This update meant that we can not estimate when secondary notifications occurred. We have therefore reported secondary notifications occurring in the same year as the primary notifications that caused them. Implementing the model required several additional assumptions not detailed in [11] - see the supplementary information for details.</w:t>
      </w:r>
    </w:p>
    <w:p w:rsidR="004313C4" w:rsidRDefault="00337BA2">
      <w:pPr>
        <w:pStyle w:val="Heading2"/>
      </w:pPr>
      <w:bookmarkStart w:id="13" w:name="updating-model-parameter-estimates-and-i"/>
      <w:bookmarkEnd w:id="13"/>
      <w:r>
        <w:t>Updating model parameter estimates and incorporating parameter uncertainty</w:t>
      </w:r>
    </w:p>
    <w:p w:rsidR="004313C4" w:rsidRDefault="00337BA2">
      <w:pPr>
        <w:pStyle w:val="FirstParagraph"/>
      </w:pPr>
      <w:r>
        <w:t>Incidence rates were included as point estimates in [11]; in the updated model we included uncertainty in these rates. We did this by first estimating notifications for 1973, 1978, and 1983, using published incidence rates and population estimates. Samples were then generated using a Poisson distribution.[11,14] 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years.[16]</w:t>
      </w:r>
    </w:p>
    <w:p w:rsidR="004313C4" w:rsidRDefault="00337BA2">
      <w:pPr>
        <w:pStyle w:val="BodyText"/>
      </w:pPr>
      <w:r>
        <w:t xml:space="preserve">We considered the original assumption of a 9% annual decrease in incidence rates as well as three scenarios based on those considered by the JCVI BCG subgroup:[12,13] 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 </w:t>
      </w:r>
      <w:r>
        <w:rPr>
          <w:rStyle w:val="VerbatimChar"/>
        </w:rPr>
        <w:t>prop.test</w:t>
      </w:r>
      <w:r>
        <w:t xml:space="preserve"> function in R.[17] The second proxy used was the annual decrease in the UK </w:t>
      </w:r>
      <w:r>
        <w:lastRenderedPageBreak/>
        <w:t>born age-specific incidence rates in the English population. These were calculated using notification data from the Enhanced TB surveillance system (ETS) and the June Labour Force Survey.[10] Incidence rates were estimated using the epiR package.[18] 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meta-model.[19] 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rsidR="004313C4" w:rsidRDefault="00337BA2">
      <w:pPr>
        <w:pStyle w:val="Heading2"/>
      </w:pPr>
      <w:bookmarkStart w:id="14" w:name="statistical-analysis"/>
      <w:bookmarkEnd w:id="14"/>
      <w:r>
        <w:t>Statistical analysis</w:t>
      </w:r>
    </w:p>
    <w:p w:rsidR="004313C4" w:rsidRDefault="00337BA2">
      <w:pPr>
        <w:pStyle w:val="FirstParagraph"/>
      </w:pPr>
      <w:r>
        <w:t>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 [11] a 15-year time horizon was used with 5-year intervals. The year closest to the year of the change in vaccination policy (2005), which had model estimates, was used as the baseline.</w:t>
      </w:r>
    </w:p>
    <w:p w:rsidR="004313C4" w:rsidRDefault="00337BA2">
      <w:pPr>
        <w:pStyle w:val="Heading2"/>
      </w:pPr>
      <w:bookmarkStart w:id="15" w:name="patient-and-public-involvement"/>
      <w:bookmarkEnd w:id="15"/>
      <w:r>
        <w:t>Patient and public involvement</w:t>
      </w:r>
    </w:p>
    <w:p w:rsidR="004313C4" w:rsidRDefault="00337BA2">
      <w:pPr>
        <w:pStyle w:val="FirstParagraph"/>
      </w:pPr>
      <w:r>
        <w:t>We did not involve patients or the public in the design or planning of this study.</w:t>
      </w:r>
    </w:p>
    <w:p w:rsidR="004313C4" w:rsidRDefault="00337BA2">
      <w:pPr>
        <w:pStyle w:val="Heading1"/>
      </w:pPr>
      <w:bookmarkStart w:id="16" w:name="results"/>
      <w:bookmarkEnd w:id="16"/>
      <w:r>
        <w:t>Results</w:t>
      </w:r>
    </w:p>
    <w:p w:rsidR="004313C4" w:rsidRDefault="00337BA2">
      <w:pPr>
        <w:pStyle w:val="Heading2"/>
      </w:pPr>
      <w:bookmarkStart w:id="17" w:name="model-validation"/>
      <w:bookmarkEnd w:id="17"/>
      <w:r>
        <w:t>Model validation</w:t>
      </w:r>
    </w:p>
    <w:p w:rsidR="004313C4" w:rsidRDefault="00337BA2">
      <w:pPr>
        <w:pStyle w:val="FirstParagraph"/>
      </w:pPr>
      <w:r>
        <w:t>Our model produced results that were comparable with those from [11] (supplementary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 [11].</w:t>
      </w:r>
    </w:p>
    <w:p w:rsidR="004313C4" w:rsidRDefault="00337BA2">
      <w:pPr>
        <w:pStyle w:val="Heading2"/>
      </w:pPr>
      <w:bookmarkStart w:id="18" w:name="annual-change-in-tb-incidence-rates"/>
      <w:bookmarkEnd w:id="18"/>
      <w:r>
        <w:t>Annual change in TB incidence rates</w:t>
      </w:r>
    </w:p>
    <w:p w:rsidR="004313C4" w:rsidRDefault="00337BA2">
      <w:pPr>
        <w:pStyle w:val="FirstParagraph"/>
      </w:pPr>
      <w:r>
        <w:t>We found that the assumption of a 9% annual decrease in incidence rates in the ethnic White UK born was not comparable to estimates using either notification data or age-specific incidence rates in the time period studied (figure 1).</w:t>
      </w:r>
    </w:p>
    <w:p w:rsidR="004313C4" w:rsidRDefault="004313C4"/>
    <w:p w:rsidR="004313C4" w:rsidRDefault="00967222">
      <w:pPr>
        <w:pStyle w:val="ImageCaption"/>
      </w:pPr>
      <w:r>
        <w:lastRenderedPageBreak/>
        <w:t>Figure 1 here</w:t>
      </w:r>
    </w:p>
    <w:p w:rsidR="004313C4" w:rsidRDefault="00337BA2">
      <w:pPr>
        <w:pStyle w:val="Heading2"/>
      </w:pPr>
      <w:bookmarkStart w:id="19" w:name="vaccines-required-to-prevent-a-single-no"/>
      <w:bookmarkEnd w:id="19"/>
      <w:r>
        <w:t>Vaccines required to prevent a single notification</w:t>
      </w:r>
    </w:p>
    <w:p w:rsidR="004313C4" w:rsidRDefault="00337BA2" w:rsidP="00967222">
      <w:pPr>
        <w:pStyle w:val="FirstParagraph"/>
      </w:pPr>
      <w:r>
        <w:t>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JVCI) resulted in an 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rsidR="004313C4" w:rsidRDefault="00967222">
      <w:pPr>
        <w:pStyle w:val="ImageCaption"/>
      </w:pPr>
      <w:r>
        <w:t>Figure 2 here</w:t>
      </w:r>
    </w:p>
    <w:p w:rsidR="004313C4" w:rsidRDefault="00337BA2">
      <w:pPr>
        <w:pStyle w:val="Heading3"/>
      </w:pPr>
      <w:bookmarkStart w:id="20" w:name="average-annual-additional-cases-from-end"/>
      <w:bookmarkEnd w:id="20"/>
      <w:r>
        <w:t>Average annual additional cases from ending the BCG schools scheme at various dates</w:t>
      </w:r>
    </w:p>
    <w:p w:rsidR="004313C4" w:rsidRDefault="00337BA2">
      <w:pPr>
        <w:pStyle w:val="FirstParagraph"/>
      </w:pPr>
      <w:r>
        <w:t>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r w:rsidR="00F21082">
        <w:t xml:space="preserve"> </w:t>
      </w:r>
      <w:r w:rsidR="00F21082">
        <w:t>(figure 3)</w:t>
      </w:r>
      <w:r>
        <w:t>.</w:t>
      </w:r>
    </w:p>
    <w:p w:rsidR="004313C4" w:rsidRPr="00967222" w:rsidRDefault="00967222">
      <w:pPr>
        <w:rPr>
          <w:i/>
          <w:iCs/>
        </w:rPr>
      </w:pPr>
      <w:r w:rsidRPr="00967222">
        <w:rPr>
          <w:i/>
          <w:iCs/>
        </w:rPr>
        <w:t>Figure 3 here</w:t>
      </w:r>
    </w:p>
    <w:p w:rsidR="004313C4" w:rsidRDefault="00337BA2">
      <w:pPr>
        <w:pStyle w:val="Heading1"/>
      </w:pPr>
      <w:bookmarkStart w:id="21" w:name="discussion"/>
      <w:bookmarkEnd w:id="21"/>
      <w:r>
        <w:t>Discussion</w:t>
      </w:r>
    </w:p>
    <w:p w:rsidR="004313C4" w:rsidRDefault="00337BA2">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w:t>
      </w:r>
      <w:r>
        <w:lastRenderedPageBreak/>
        <w:t>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rsidR="004313C4" w:rsidRDefault="00337BA2">
      <w:pPr>
        <w:pStyle w:val="BodyText"/>
      </w:pPr>
      <w:r>
        <w:t>This study reassesses a key piece of the quantitative evidence used to motivate the change in BCG vaccination policy in 2005.</w:t>
      </w:r>
    </w:p>
    <w:p w:rsidR="004313C4" w:rsidRDefault="00337BA2">
      <w:pPr>
        <w:pStyle w:val="BodyText"/>
      </w:pPr>
      <w:r>
        <w:t>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rsidR="004313C4" w:rsidRDefault="00337BA2">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(8-53%).[20] This is substantially fewer than our estimate of 2000 (2.5, 97.5% Q: 1600, 2500) (the most comparable year from our study). However, the same trial found that for regions close to the equator BCG effectiveness was low in school-age children but unchanged in </w:t>
      </w:r>
      <w:r>
        <w:lastRenderedPageBreak/>
        <w:t>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may also be less likely to result in the same reductions in ongoing transmission.</w:t>
      </w:r>
    </w:p>
    <w:p w:rsidR="004313C4" w:rsidRDefault="00337BA2">
      <w:pPr>
        <w:pStyle w:val="BodyText"/>
      </w:pPr>
      <w:r>
        <w:t>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rsidR="004313C4" w:rsidRDefault="00337BA2">
      <w:pPr>
        <w:pStyle w:val="BodyText"/>
      </w:pPr>
      <w:r>
        <w:t>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scheme.[28]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rsidR="004313C4" w:rsidRDefault="00337BA2">
      <w:pPr>
        <w:pStyle w:val="BodyText"/>
      </w:pPr>
      <w:r>
        <w:rPr>
          <w:b/>
        </w:rPr>
        <w:lastRenderedPageBreak/>
        <w:t>Acknowledgements</w:t>
      </w:r>
    </w:p>
    <w:p w:rsidR="004313C4" w:rsidRDefault="00337BA2">
      <w:pPr>
        <w:pStyle w:val="BodyText"/>
      </w:pPr>
      <w:r>
        <w:t>The authors thank the TB section at Public Health England (PHE) for maintaining the Enhanced Tuberculosis Surveillance (ETS) system; all the healthcare workers involved in data collection for the ETS.</w:t>
      </w:r>
    </w:p>
    <w:p w:rsidR="004313C4" w:rsidRDefault="00337BA2">
      <w:pPr>
        <w:pStyle w:val="BodyText"/>
      </w:pPr>
      <w:r>
        <w:rPr>
          <w:b/>
        </w:rPr>
        <w:t>Contributors</w:t>
      </w:r>
    </w:p>
    <w:p w:rsidR="004313C4" w:rsidRDefault="00337BA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rsidR="004313C4" w:rsidRDefault="00337BA2">
      <w:pPr>
        <w:pStyle w:val="BodyText"/>
      </w:pPr>
      <w:r>
        <w:rPr>
          <w:b/>
        </w:rPr>
        <w:t>Funding</w:t>
      </w:r>
    </w:p>
    <w:p w:rsidR="004313C4" w:rsidRDefault="00337BA2">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4313C4" w:rsidRDefault="00337BA2">
      <w:pPr>
        <w:pStyle w:val="BodyText"/>
      </w:pPr>
      <w:r>
        <w:rPr>
          <w:b/>
        </w:rPr>
        <w:t>Conflicts of interest</w:t>
      </w:r>
    </w:p>
    <w:p w:rsidR="004313C4" w:rsidRDefault="00337BA2">
      <w:pPr>
        <w:pStyle w:val="BodyText"/>
      </w:pPr>
      <w:r>
        <w:t>HC reports receiving honoraria from Sanofi Pasteur, and consultancy fees from AstraZeneca, GSK and IMS Health, all paid to her employer.</w:t>
      </w:r>
    </w:p>
    <w:p w:rsidR="004313C4" w:rsidRDefault="00337BA2">
      <w:pPr>
        <w:pStyle w:val="BodyText"/>
      </w:pPr>
      <w:r>
        <w:rPr>
          <w:b/>
        </w:rPr>
        <w:t xml:space="preserve">Accessibility of </w:t>
      </w:r>
      <w:bookmarkStart w:id="22" w:name="_GoBack"/>
      <w:bookmarkEnd w:id="22"/>
      <w:r>
        <w:rPr>
          <w:b/>
        </w:rPr>
        <w:t>programming code</w:t>
      </w:r>
    </w:p>
    <w:p w:rsidR="00CD3C4C" w:rsidRDefault="00337BA2" w:rsidP="00CD3C4C">
      <w:pPr>
        <w:pStyle w:val="BodyText"/>
        <w:rPr>
          <w:rStyle w:val="Hyperlink"/>
        </w:rPr>
      </w:pPr>
      <w:r>
        <w:t>The code</w:t>
      </w:r>
      <w:r w:rsidR="00CD3C4C">
        <w:t xml:space="preserve"> </w:t>
      </w:r>
      <w:r>
        <w:t xml:space="preserve">for the analysis contained in this paper can be found at: </w:t>
      </w:r>
      <w:hyperlink r:id="rId9">
        <w:r>
          <w:rPr>
            <w:rStyle w:val="Hyperlink"/>
          </w:rPr>
          <w:t>https://doi.org/10.5281/zenodo.2635687</w:t>
        </w:r>
      </w:hyperlink>
    </w:p>
    <w:p w:rsidR="00CD3C4C" w:rsidRPr="007B7D80" w:rsidRDefault="00CD3C4C" w:rsidP="00CD3C4C">
      <w:pPr>
        <w:pStyle w:val="BodyText"/>
        <w:rPr>
          <w:b/>
          <w:bCs/>
        </w:rPr>
      </w:pPr>
      <w:r w:rsidRPr="007B7D80">
        <w:rPr>
          <w:b/>
          <w:bCs/>
        </w:rPr>
        <w:t>Data availability statement</w:t>
      </w:r>
    </w:p>
    <w:p w:rsidR="00CD3C4C" w:rsidRDefault="00CD3C4C" w:rsidP="00CD3C4C">
      <w:pPr>
        <w:pStyle w:val="BodyText"/>
      </w:pPr>
      <w:r>
        <w:t>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 https://doi.org/10.5281/zenodo.2635687</w:t>
      </w:r>
    </w:p>
    <w:p w:rsidR="00CD3C4C" w:rsidRDefault="00CD3C4C">
      <w:pPr>
        <w:pStyle w:val="BodyText"/>
      </w:pPr>
    </w:p>
    <w:p w:rsidR="004313C4" w:rsidRDefault="00337BA2">
      <w:pPr>
        <w:pStyle w:val="Heading1"/>
      </w:pPr>
      <w:bookmarkStart w:id="23" w:name="references"/>
      <w:bookmarkEnd w:id="23"/>
      <w:r>
        <w:t>References</w:t>
      </w:r>
    </w:p>
    <w:p w:rsidR="004313C4" w:rsidRDefault="00337BA2">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4313C4" w:rsidRDefault="00337BA2">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4313C4" w:rsidRDefault="00337BA2">
      <w:pPr>
        <w:pStyle w:val="BodyText"/>
      </w:pPr>
      <w:r>
        <w:lastRenderedPageBreak/>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4313C4" w:rsidRDefault="00337BA2">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4313C4" w:rsidRDefault="00337BA2">
      <w:pPr>
        <w:pStyle w:val="BodyText"/>
      </w:pPr>
      <w:r>
        <w:t xml:space="preserve">5 World Health Organization. </w:t>
      </w:r>
      <w:r>
        <w:rPr>
          <w:i/>
        </w:rPr>
        <w:t>Global Tuberculosis Report</w:t>
      </w:r>
      <w:r>
        <w:t xml:space="preserve">. 2017. </w:t>
      </w:r>
    </w:p>
    <w:p w:rsidR="004313C4" w:rsidRDefault="00337BA2">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4313C4" w:rsidRDefault="00337BA2">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rsidR="004313C4" w:rsidRDefault="00337BA2">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4313C4" w:rsidRDefault="00337BA2">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4313C4" w:rsidRDefault="00337BA2">
      <w:pPr>
        <w:pStyle w:val="BodyText"/>
      </w:pPr>
      <w:r>
        <w:t xml:space="preserve">10 Public Health England. Tuberculosis in England 2017 report ( presenting data to end of 2016 ) About Public Health England. 2017. </w:t>
      </w:r>
    </w:p>
    <w:p w:rsidR="004313C4" w:rsidRDefault="00337BA2">
      <w:pPr>
        <w:pStyle w:val="BodyText"/>
      </w:pPr>
      <w:r>
        <w:t xml:space="preserve">11 Sutherland I, Springett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rsidR="004313C4" w:rsidRDefault="00337BA2">
      <w:pPr>
        <w:pStyle w:val="BodyText"/>
      </w:pPr>
      <w:r>
        <w:t xml:space="preserve">12 Joint Committee on Vaccination, panel IB. Minutes. 2002. </w:t>
      </w:r>
    </w:p>
    <w:p w:rsidR="004313C4" w:rsidRDefault="00337BA2">
      <w:pPr>
        <w:pStyle w:val="BodyText"/>
      </w:pPr>
      <w:r>
        <w:t xml:space="preserve">13 Joint Committee on Vaccination, panel IB. Minutes. 2003. </w:t>
      </w:r>
    </w:p>
    <w:p w:rsidR="004313C4" w:rsidRDefault="00337BA2">
      <w:pPr>
        <w:pStyle w:val="BodyText"/>
      </w:pPr>
      <w:r>
        <w:t xml:space="preserve">14 Sutherland I. Effectiveness of BCG vaccination in England and Wales in 1983. </w:t>
      </w:r>
      <w:r>
        <w:rPr>
          <w:i/>
        </w:rPr>
        <w:t>Tubercle</w:t>
      </w:r>
      <w:r>
        <w:t xml:space="preserve"> 1987;</w:t>
      </w:r>
      <w:r>
        <w:rPr>
          <w:b/>
        </w:rPr>
        <w:t>68</w:t>
      </w:r>
      <w:r>
        <w:t>:81–92.</w:t>
      </w:r>
    </w:p>
    <w:p w:rsidR="004313C4" w:rsidRDefault="00337BA2">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4313C4" w:rsidRDefault="00337BA2">
      <w:pPr>
        <w:pStyle w:val="BodyText"/>
      </w:pPr>
      <w:r>
        <w:t xml:space="preserve">16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4313C4" w:rsidRDefault="00337BA2">
      <w:pPr>
        <w:pStyle w:val="BodyText"/>
      </w:pPr>
      <w:r>
        <w:t xml:space="preserve">17 R Core Team. R: A Language and Environment for Statistical Computing. Vienna, Austria: 2016. </w:t>
      </w:r>
    </w:p>
    <w:p w:rsidR="004313C4" w:rsidRDefault="00337BA2">
      <w:pPr>
        <w:pStyle w:val="BodyText"/>
      </w:pPr>
      <w:r>
        <w:t xml:space="preserve">18 Stevenson M, Nunes T, Heuer C </w:t>
      </w:r>
      <w:r>
        <w:rPr>
          <w:i/>
        </w:rPr>
        <w:t>et al.</w:t>
      </w:r>
      <w:r>
        <w:t xml:space="preserve"> </w:t>
      </w:r>
      <w:r>
        <w:rPr>
          <w:i/>
        </w:rPr>
        <w:t>epiR: Tools for the Analysis of Epidemiological Data</w:t>
      </w:r>
      <w:r>
        <w:t xml:space="preserve">. 2017. </w:t>
      </w:r>
    </w:p>
    <w:p w:rsidR="004313C4" w:rsidRDefault="00337BA2">
      <w:pPr>
        <w:pStyle w:val="BodyText"/>
      </w:pPr>
      <w:r>
        <w:lastRenderedPageBreak/>
        <w:t xml:space="preserve">19 Fox J, Weisberg S. </w:t>
      </w:r>
      <w:r>
        <w:rPr>
          <w:i/>
        </w:rPr>
        <w:t>An R companion to applied regression</w:t>
      </w:r>
      <w:r>
        <w:t xml:space="preserve">. Third. Thousand Oaks CA:: Sage 2019. </w:t>
      </w:r>
      <w:hyperlink r:id="rId10">
        <w:r>
          <w:rPr>
            <w:rStyle w:val="Hyperlink"/>
          </w:rPr>
          <w:t>https://socialsciences.mcmaster.ca/jfox/Books/Companion/</w:t>
        </w:r>
      </w:hyperlink>
    </w:p>
    <w:p w:rsidR="004313C4" w:rsidRDefault="00337BA2">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rsidR="004313C4" w:rsidRDefault="00337BA2">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rsidR="004313C4" w:rsidRDefault="00337BA2">
      <w:pPr>
        <w:pStyle w:val="BodyText"/>
      </w:pPr>
      <w:r>
        <w:t xml:space="preserve">22 Fine PEM. Variation in protection by BCG: implications of and for heterologous immunity. </w:t>
      </w:r>
      <w:r>
        <w:rPr>
          <w:i/>
        </w:rPr>
        <w:t>Lancet</w:t>
      </w:r>
      <w:r>
        <w:t xml:space="preserve"> 1995;</w:t>
      </w:r>
      <w:r>
        <w:rPr>
          <w:b/>
        </w:rPr>
        <w:t>346</w:t>
      </w:r>
      <w:r>
        <w:t>:1339–45.</w:t>
      </w:r>
    </w:p>
    <w:p w:rsidR="004313C4" w:rsidRDefault="00337BA2">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rsidR="004313C4" w:rsidRDefault="00337BA2">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rsidR="004313C4" w:rsidRDefault="00337BA2">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rsidR="004313C4" w:rsidRDefault="00337BA2">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4313C4" w:rsidRDefault="00337BA2">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rsidR="004313C4" w:rsidRDefault="00337BA2">
      <w:pPr>
        <w:pStyle w:val="BodyText"/>
        <w:rPr>
          <w:rStyle w:val="Hyperlink"/>
        </w:rPr>
      </w:pPr>
      <w:r>
        <w:t xml:space="preserve">28 Abbott S, Christensen H, Welton N </w:t>
      </w:r>
      <w:r>
        <w:rPr>
          <w:i/>
        </w:rPr>
        <w:t>et al.</w:t>
      </w:r>
      <w:r>
        <w:t xml:space="preserve"> Estimating the effect of the 2005 change in bcg policy in england: A retrospective cohort study. </w:t>
      </w:r>
      <w:r>
        <w:rPr>
          <w:i/>
        </w:rPr>
        <w:t>bioRxiv</w:t>
      </w:r>
      <w:r>
        <w:t xml:space="preserve"> Published Online First: 2019. doi:</w:t>
      </w:r>
      <w:hyperlink r:id="rId11">
        <w:r>
          <w:rPr>
            <w:rStyle w:val="Hyperlink"/>
          </w:rPr>
          <w:t>10.1101/567511</w:t>
        </w:r>
      </w:hyperlink>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i/>
          <w:iCs/>
        </w:rPr>
      </w:pPr>
      <w:r w:rsidRPr="00967222">
        <w:rPr>
          <w:i/>
          <w:iCs/>
        </w:rPr>
        <w:t>Figure 1: Annual percentage change in ethnic White UK born incidence rates for those aged 15-19, 20-24, and 25-29 years old under different scenarios. For the notification and incidence rate scenarios each line represents the median of 10,000 parameter samples.</w:t>
      </w:r>
    </w:p>
    <w:p w:rsidR="00967222" w:rsidRDefault="00967222">
      <w:pPr>
        <w:pStyle w:val="BodyText"/>
        <w:rPr>
          <w:i/>
          <w:iCs/>
        </w:rPr>
      </w:pPr>
    </w:p>
    <w:p w:rsidR="00967222" w:rsidRDefault="00967222">
      <w:pPr>
        <w:pStyle w:val="BodyText"/>
        <w:rPr>
          <w:i/>
          <w:iCs/>
        </w:rPr>
      </w:pPr>
      <w:r w:rsidRPr="00967222">
        <w:rPr>
          <w:i/>
          <w:iCs/>
        </w:rP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967222">
        <w:rPr>
          <w:i/>
          <w:iCs/>
        </w:rPr>
        <w:t>summarises</w:t>
      </w:r>
      <w:proofErr w:type="spellEnd"/>
      <w:r w:rsidRPr="00967222">
        <w:rPr>
          <w:i/>
          <w:iCs/>
        </w:rPr>
        <w:t xml:space="preserve"> the output of 10,000 model simulations for each scenario.</w:t>
      </w:r>
    </w:p>
    <w:p w:rsidR="00967222" w:rsidRDefault="00967222">
      <w:pPr>
        <w:pStyle w:val="BodyText"/>
        <w:rPr>
          <w:i/>
          <w:iCs/>
        </w:rPr>
      </w:pPr>
    </w:p>
    <w:p w:rsidR="00967222" w:rsidRDefault="00967222" w:rsidP="00967222">
      <w:pPr>
        <w:pStyle w:val="ImageCaption"/>
      </w:pPr>
      <w:r>
        <w:t xml:space="preserve">Figure 3: Annual additional (stratified into primary and secondary) notifications in 15-29 year </w:t>
      </w:r>
      <w:proofErr w:type="spellStart"/>
      <w:r>
        <w:t>olds</w:t>
      </w:r>
      <w:proofErr w:type="spellEnd"/>
      <w:r>
        <w:t xml:space="preserve">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w:t>
      </w:r>
      <w:proofErr w:type="spellStart"/>
      <w:r>
        <w:t>summarises</w:t>
      </w:r>
      <w:proofErr w:type="spellEnd"/>
      <w:r>
        <w:t xml:space="preserve"> the output of 10,000 model simulations for each scenario. Secondary notifications are reported assuming they occurred in the same year as the primary notifications that caused them.</w:t>
      </w:r>
    </w:p>
    <w:p w:rsidR="00967222" w:rsidRPr="00967222" w:rsidRDefault="00967222">
      <w:pPr>
        <w:pStyle w:val="BodyText"/>
        <w:rPr>
          <w:i/>
          <w:iCs/>
        </w:rPr>
      </w:pPr>
    </w:p>
    <w:sectPr w:rsidR="00967222" w:rsidRPr="009672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F8A" w:rsidRDefault="008F5F8A">
      <w:pPr>
        <w:spacing w:after="0"/>
      </w:pPr>
      <w:r>
        <w:separator/>
      </w:r>
    </w:p>
  </w:endnote>
  <w:endnote w:type="continuationSeparator" w:id="0">
    <w:p w:rsidR="008F5F8A" w:rsidRDefault="008F5F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F8A" w:rsidRDefault="008F5F8A">
      <w:r>
        <w:separator/>
      </w:r>
    </w:p>
  </w:footnote>
  <w:footnote w:type="continuationSeparator" w:id="0">
    <w:p w:rsidR="008F5F8A" w:rsidRDefault="008F5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50459"/>
    <w:multiLevelType w:val="multilevel"/>
    <w:tmpl w:val="7C9E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A9A66F"/>
    <w:multiLevelType w:val="multilevel"/>
    <w:tmpl w:val="8A0A21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227E09"/>
    <w:multiLevelType w:val="multilevel"/>
    <w:tmpl w:val="61CA21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44B6B5E"/>
    <w:multiLevelType w:val="multilevel"/>
    <w:tmpl w:val="285221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948DE6E"/>
    <w:multiLevelType w:val="multilevel"/>
    <w:tmpl w:val="24124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0"/>
  </w:num>
  <w:num w:numId="15">
    <w:abstractNumId w:val="1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7BA2"/>
    <w:rsid w:val="00410E10"/>
    <w:rsid w:val="004313C4"/>
    <w:rsid w:val="004E29B3"/>
    <w:rsid w:val="00590D07"/>
    <w:rsid w:val="00784D58"/>
    <w:rsid w:val="008D6863"/>
    <w:rsid w:val="008F5F8A"/>
    <w:rsid w:val="00967222"/>
    <w:rsid w:val="00A13CB5"/>
    <w:rsid w:val="00B86B75"/>
    <w:rsid w:val="00BC48D5"/>
    <w:rsid w:val="00C36279"/>
    <w:rsid w:val="00CD3C4C"/>
    <w:rsid w:val="00CD7E3C"/>
    <w:rsid w:val="00E315A3"/>
    <w:rsid w:val="00F21082"/>
    <w:rsid w:val="00F745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EA77"/>
  <w15:docId w15:val="{90FB1194-9A7F-E44C-8D8E-4D81441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F2108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210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1/567511" TargetMode="External"/><Relationship Id="rId5" Type="http://schemas.openxmlformats.org/officeDocument/2006/relationships/footnotes" Target="footnotes.xml"/><Relationship Id="rId10" Type="http://schemas.openxmlformats.org/officeDocument/2006/relationships/hyperlink" Target="https://socialsciences.mcmaster.ca/jfox/Books/Companion/" TargetMode="External"/><Relationship Id="rId4" Type="http://schemas.openxmlformats.org/officeDocument/2006/relationships/webSettings" Target="webSettings.xml"/><Relationship Id="rId9" Type="http://schemas.openxmlformats.org/officeDocument/2006/relationships/hyperlink" Target="https://doi.org/10.5281/zenodo.2635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5756</Words>
  <Characters>32814</Characters>
  <Application>Microsoft Office Word</Application>
  <DocSecurity>0</DocSecurity>
  <Lines>273</Lines>
  <Paragraphs>76</Paragraphs>
  <ScaleCrop>false</ScaleCrop>
  <Company/>
  <LinksUpToDate>false</LinksUpToDate>
  <CharactersWithSpaces>38494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5</cp:revision>
  <dcterms:created xsi:type="dcterms:W3CDTF">2019-10-10T15:45:00Z</dcterms:created>
  <dcterms:modified xsi:type="dcterms:W3CDTF">2019-10-15T09:04:00Z</dcterms:modified>
</cp:coreProperties>
</file>