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0B" w:rsidRDefault="000D73CA">
      <w:pPr>
        <w:pStyle w:val="Title"/>
      </w:pPr>
      <w:r>
        <w:t>Reassessing the Evidence for Universal School-age Bacillus Calmette Guerin (BCG) Vaccination in England and Wales</w:t>
      </w:r>
    </w:p>
    <w:p w:rsidR="008D540B" w:rsidRDefault="000D73CA">
      <w:pPr>
        <w:pStyle w:val="Author"/>
      </w:pPr>
      <w:r>
        <w:t>Sam Abbott, Hannah Christensen, Ellen Brooks-Pollock</w:t>
      </w:r>
    </w:p>
    <w:p w:rsidR="008D540B" w:rsidRDefault="000D73CA">
      <w:pPr>
        <w:pStyle w:val="FirstParagraph"/>
      </w:pPr>
      <w:r>
        <w:rPr>
          <w:b/>
        </w:rPr>
        <w:t>Authors:</w:t>
      </w:r>
    </w:p>
    <w:p w:rsidR="008D540B" w:rsidRDefault="000D73CA">
      <w:pPr>
        <w:pStyle w:val="BodyText"/>
      </w:pPr>
      <w:r>
        <w:t>Sam Abbott, Bristol Medical School: Population Health Sciences, University of Bristol, Bristol, UK</w:t>
      </w:r>
    </w:p>
    <w:p w:rsidR="008D540B" w:rsidRDefault="000D73CA">
      <w:pPr>
        <w:pStyle w:val="BodyText"/>
      </w:pPr>
      <w:r>
        <w:t>Hannah Christensen, Bristol Medical School: Population Health Sciences, University of Bristol, Bristol, UK</w:t>
      </w:r>
    </w:p>
    <w:p w:rsidR="008D540B" w:rsidRDefault="000D73CA">
      <w:pPr>
        <w:pStyle w:val="BodyText"/>
      </w:pPr>
      <w:r>
        <w:t>Ellen Brooks-Pollock, Bristol Medical School: Population Health Sciences, University of Bristol, Bristol, UK</w:t>
      </w:r>
    </w:p>
    <w:p w:rsidR="008D540B" w:rsidRDefault="000D73CA">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rsidR="008D540B" w:rsidRDefault="000D73CA">
      <w:pPr>
        <w:pStyle w:val="BodyText"/>
      </w:pPr>
      <w:r>
        <w:rPr>
          <w:b/>
        </w:rPr>
        <w:t>Words:</w:t>
      </w:r>
      <w:r>
        <w:t xml:space="preserve"> </w:t>
      </w:r>
      <w:r>
        <w:rPr>
          <w:i/>
        </w:rPr>
        <w:t>Title:</w:t>
      </w:r>
      <w:r>
        <w:t xml:space="preserve"> 15 </w:t>
      </w:r>
      <w:r>
        <w:rPr>
          <w:i/>
        </w:rPr>
        <w:t>Abstract:</w:t>
      </w:r>
      <w:r>
        <w:t xml:space="preserve"> 250 </w:t>
      </w:r>
      <w:r>
        <w:rPr>
          <w:i/>
        </w:rPr>
        <w:t>Paper:</w:t>
      </w:r>
      <w:r>
        <w:t xml:space="preserve"> 2</w:t>
      </w:r>
      <w:r w:rsidR="001E1F75">
        <w:t>900</w:t>
      </w:r>
    </w:p>
    <w:p w:rsidR="006B7450" w:rsidRDefault="006B7450" w:rsidP="006B7450">
      <w:pPr>
        <w:pStyle w:val="Heading1"/>
      </w:pPr>
      <w:bookmarkStart w:id="0" w:name="what-is-already-known-on-this-subject"/>
      <w:bookmarkStart w:id="1" w:name="introduction"/>
      <w:bookmarkEnd w:id="0"/>
      <w:bookmarkEnd w:id="1"/>
      <w:r>
        <w:t>Abstract</w:t>
      </w:r>
    </w:p>
    <w:p w:rsidR="006B7450" w:rsidRDefault="006B7450" w:rsidP="006B7450">
      <w:pPr>
        <w:pStyle w:val="Heading2"/>
      </w:pPr>
      <w:bookmarkStart w:id="2" w:name="background"/>
      <w:bookmarkEnd w:id="2"/>
      <w:r>
        <w:t>Background</w:t>
      </w:r>
    </w:p>
    <w:p w:rsidR="006B7450" w:rsidRDefault="006B7450" w:rsidP="006B7450">
      <w:pPr>
        <w:pStyle w:val="FirstParagraph"/>
      </w:pPr>
      <w:r>
        <w:t>In 2005, England and Wales switched from universal BCG vaccination against tuberculosis (TB) disease for school-age children to targeted vaccination of neonates. We assessed the quantitative evidence that informed this policy change.</w:t>
      </w:r>
    </w:p>
    <w:p w:rsidR="006B7450" w:rsidRDefault="006B7450" w:rsidP="006B7450">
      <w:pPr>
        <w:pStyle w:val="Heading2"/>
      </w:pPr>
      <w:bookmarkStart w:id="3" w:name="methods-1"/>
      <w:bookmarkEnd w:id="3"/>
      <w:r>
        <w:t>Methods</w:t>
      </w:r>
    </w:p>
    <w:p w:rsidR="006B7450" w:rsidRDefault="006B7450" w:rsidP="006B7450">
      <w:pPr>
        <w:pStyle w:val="FirstParagraph"/>
      </w:pPr>
      <w:r>
        <w:t xml:space="preserve">We recreated a previous approach for estimating the impact of ending the BCG schools’ scheme in England and Wales, updating the model with parameter uncertainty. We investigated scenarios considered by the UK’s Joint Committee on Vaccination and </w:t>
      </w:r>
      <w:proofErr w:type="spellStart"/>
      <w:r>
        <w:t>Immunisation</w:t>
      </w:r>
      <w:proofErr w:type="spellEnd"/>
      <w:r>
        <w:t>, and explored new approaches using notification data. We estimated the number of vaccines needed to prevent a single notification, and the average annual additional notifications caused by ending the BCG schools’ scheme.</w:t>
      </w:r>
    </w:p>
    <w:p w:rsidR="006B7450" w:rsidRDefault="006B7450" w:rsidP="006B7450">
      <w:pPr>
        <w:pStyle w:val="Heading2"/>
      </w:pPr>
      <w:bookmarkStart w:id="4" w:name="results-1"/>
      <w:bookmarkEnd w:id="4"/>
      <w:r>
        <w:t>Results</w:t>
      </w:r>
    </w:p>
    <w:p w:rsidR="006B7450" w:rsidRDefault="006B7450" w:rsidP="006B7450">
      <w:pPr>
        <w:pStyle w:val="FirstParagraph"/>
      </w:pPr>
      <w:r>
        <w:t>We found a 1.9% annual decrease in TB incidence rates best matched notification data. We estimate that 1600 (2.5-97.5% Quantiles (Q): 1300 - 2100) vaccines would have been required to prevent a single notification in 2004. If the scheme had ended in 2001, 302 (2.5-97.5% Q: 238 - 369) additional annual notifications would have occurred compared to if the scheme had continued. If the scheme ended in 2016, 120 (2.5-97.5% Q: 88 - 155) additional annual notifications would have occurred.</w:t>
      </w:r>
    </w:p>
    <w:p w:rsidR="006B7450" w:rsidRDefault="006B7450" w:rsidP="006B7450">
      <w:pPr>
        <w:pStyle w:val="Heading2"/>
      </w:pPr>
      <w:bookmarkStart w:id="5" w:name="conclusions"/>
      <w:bookmarkEnd w:id="5"/>
      <w:r>
        <w:lastRenderedPageBreak/>
        <w:t>Conclusions</w:t>
      </w:r>
    </w:p>
    <w:p w:rsidR="006B7450" w:rsidRDefault="006B7450" w:rsidP="006B7450">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w:t>
      </w:r>
      <w:proofErr w:type="gramStart"/>
      <w:r>
        <w:t>updated</w:t>
      </w:r>
      <w:proofErr w:type="gramEnd"/>
      <w:r>
        <w:t xml:space="preserve"> and notification data were used. Our results highlight the importance of including uncertainty when forecasting the impact of changes in vaccination policy.</w:t>
      </w:r>
    </w:p>
    <w:p w:rsidR="00112259" w:rsidRDefault="00112259" w:rsidP="00112259">
      <w:pPr>
        <w:pStyle w:val="Heading1"/>
      </w:pPr>
      <w:r>
        <w:t>Strengths and limitations of this study</w:t>
      </w:r>
    </w:p>
    <w:p w:rsidR="00112259" w:rsidRPr="00112259" w:rsidRDefault="00112259" w:rsidP="00112259">
      <w:pPr>
        <w:pStyle w:val="BodyText"/>
      </w:pP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This study reassesses a key piece of the quantitative evidence used to motivate the change in BCG vaccination policy in 2005. </w:t>
      </w:r>
    </w:p>
    <w:p w:rsidR="00112259" w:rsidRPr="00112259" w:rsidRDefault="00112259" w:rsidP="00112259">
      <w:pPr>
        <w:numPr>
          <w:ilvl w:val="0"/>
          <w:numId w:val="15"/>
        </w:numPr>
        <w:rPr>
          <w:rFonts w:asciiTheme="minorHAnsi" w:hAnsiTheme="minorHAnsi"/>
        </w:rPr>
      </w:pPr>
      <w:r w:rsidRPr="00112259">
        <w:rPr>
          <w:rFonts w:asciiTheme="minorHAnsi" w:hAnsiTheme="minorHAnsi"/>
        </w:rPr>
        <w:t>The inclusion of parameter uncertainty, and measurement error, allowed the uncertainty in the final estimates to be presented. Previously published estimates may have been spuriously precise.</w:t>
      </w: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w:t>
      </w: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A weakness of the modelling framework used in this study is that it did not include the whole population or age groups outside those directly affected by vaccination. The exclusion of these factors means that our results are conservative. </w:t>
      </w:r>
    </w:p>
    <w:p w:rsidR="00112259" w:rsidRDefault="00112259" w:rsidP="00112259">
      <w:pPr>
        <w:numPr>
          <w:ilvl w:val="0"/>
          <w:numId w:val="15"/>
        </w:numPr>
        <w:rPr>
          <w:rFonts w:asciiTheme="minorHAnsi" w:hAnsiTheme="minorHAnsi"/>
        </w:rPr>
      </w:pPr>
      <w:r w:rsidRPr="00112259">
        <w:rPr>
          <w:rFonts w:asciiTheme="minorHAnsi" w:hAnsiTheme="minorHAnsi"/>
        </w:rPr>
        <w:t>This study only considered the impact of ending the BCG schools’ scheme and not the impact of the introduction of the targeted neonatal vaccination program. This should be considered when evaluating the change in policy as a whole.</w:t>
      </w:r>
    </w:p>
    <w:p w:rsidR="00EE3148" w:rsidRDefault="00EE3148" w:rsidP="00EE3148">
      <w:pPr>
        <w:pStyle w:val="BodyText"/>
      </w:pPr>
    </w:p>
    <w:p w:rsidR="00EE3148" w:rsidRPr="00EE3148" w:rsidRDefault="00EE3148" w:rsidP="00EE3148">
      <w:r w:rsidRPr="00EE3148">
        <w:rPr>
          <w:rFonts w:ascii="Arial" w:hAnsi="Arial" w:cs="Arial"/>
          <w:color w:val="606060"/>
          <w:sz w:val="21"/>
          <w:szCs w:val="21"/>
          <w:shd w:val="clear" w:color="auto" w:fill="FFFFFF"/>
        </w:rPr>
        <w:t>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licence – details of these licences and which </w:t>
      </w:r>
      <w:hyperlink r:id="rId8" w:tgtFrame="_new" w:history="1">
        <w:r w:rsidRPr="00EE3148">
          <w:rPr>
            <w:rFonts w:ascii="Arial" w:hAnsi="Arial" w:cs="Arial"/>
            <w:color w:val="0083BF"/>
            <w:sz w:val="21"/>
            <w:szCs w:val="21"/>
            <w:u w:val="single"/>
          </w:rPr>
          <w:t>Creative Commons</w:t>
        </w:r>
      </w:hyperlink>
      <w:r w:rsidRPr="00EE3148">
        <w:rPr>
          <w:rFonts w:ascii="Arial" w:hAnsi="Arial" w:cs="Arial"/>
          <w:color w:val="606060"/>
          <w:sz w:val="21"/>
          <w:szCs w:val="21"/>
          <w:shd w:val="clear" w:color="auto" w:fill="FFFFFF"/>
        </w:rPr>
        <w:t> licence will apply to this Work are set out in our licence referred to above.</w:t>
      </w:r>
    </w:p>
    <w:p w:rsidR="006B7450" w:rsidRDefault="006B7450">
      <w:pPr>
        <w:pStyle w:val="Heading1"/>
      </w:pPr>
    </w:p>
    <w:p w:rsidR="006B7450" w:rsidRDefault="006B7450">
      <w:pPr>
        <w:pStyle w:val="Heading1"/>
      </w:pPr>
    </w:p>
    <w:p w:rsidR="006B7450" w:rsidRDefault="006B7450">
      <w:pPr>
        <w:pStyle w:val="Heading1"/>
        <w:sectPr w:rsidR="006B7450">
          <w:pgSz w:w="12240" w:h="15840"/>
          <w:pgMar w:top="1440" w:right="1440" w:bottom="1440" w:left="1440" w:header="720" w:footer="720" w:gutter="0"/>
          <w:cols w:space="720"/>
        </w:sectPr>
      </w:pPr>
    </w:p>
    <w:p w:rsidR="008D540B" w:rsidRDefault="000D73CA">
      <w:pPr>
        <w:pStyle w:val="Heading1"/>
      </w:pPr>
      <w:r>
        <w:lastRenderedPageBreak/>
        <w:t>Introduction</w:t>
      </w:r>
    </w:p>
    <w:p w:rsidR="008D540B" w:rsidRDefault="000D73CA">
      <w:pPr>
        <w:pStyle w:val="FirstParagraph"/>
      </w:pPr>
      <w:bookmarkStart w:id="6" w:name="_GoBack"/>
      <w:r>
        <w:t xml:space="preserve">The Bacillus Calmette–Guérin (BCG) vaccine remains the only licensed vaccine for use </w:t>
      </w:r>
      <w:bookmarkEnd w:id="6"/>
      <w:r>
        <w:t>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rsidR="008D540B" w:rsidRDefault="000D73CA">
      <w:pPr>
        <w:pStyle w:val="BodyText"/>
      </w:pPr>
      <w:r>
        <w:t>In England and Wales, universal school-aged vaccination was introduced after a MRC trial in the 1950s estimated BCG’s effectiveness at 80% in the ethnic White UK born population.[9] The policy remained in place until 2005, when England and Wales changed to targeted vaccination of neonates. The 2005 change in BCG vaccination policy was motivated by evidence of decreased transmission of TB, an increasing proportion of TB cases occurring in the non-UK born,[10] and modelling evidence that suggested stopping the BCG schools’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rsidR="008D540B" w:rsidRDefault="000D73CA">
      <w:pPr>
        <w:pStyle w:val="BodyText"/>
      </w:pPr>
      <w:r>
        <w:t>In 1987, an assessment of the school-age vaccination program was carried out in England and Wales.[11] This study was used, combined with a sensitivity analysis of notification rates, as supporting evidence by the Joint Committee on Vaccination and Immunisation (JVCI) BCG subgroup for the change in vaccination policy.[12,13] 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rsidR="008D540B" w:rsidRDefault="000D73CA">
      <w:pPr>
        <w:pStyle w:val="Heading1"/>
      </w:pPr>
      <w:bookmarkStart w:id="7" w:name="methods"/>
      <w:bookmarkEnd w:id="7"/>
      <w:r>
        <w:t>Methods</w:t>
      </w:r>
    </w:p>
    <w:p w:rsidR="008D540B" w:rsidRDefault="000D73CA">
      <w:pPr>
        <w:pStyle w:val="Heading2"/>
      </w:pPr>
      <w:bookmarkStart w:id="8" w:name="modelling-the-impact-of-ending-the-bcg-s"/>
      <w:bookmarkEnd w:id="8"/>
      <w:r>
        <w:t>Modelling the impact of ending the BCG schools’ scheme</w:t>
      </w:r>
    </w:p>
    <w:p w:rsidR="008D540B" w:rsidRDefault="000D73CA">
      <w:pPr>
        <w:pStyle w:val="FirstParagraph"/>
      </w:pPr>
      <w:r>
        <w:t xml:space="preserve">We implemented Sutherland et al.’s model for estimating the impact of ending the BCG schools’ scheme.[11]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w:t>
      </w:r>
      <w:r>
        <w:lastRenderedPageBreak/>
        <w:t>supplementary information).[11,15] 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rsidR="008D540B" w:rsidRDefault="000D73CA">
      <w:pPr>
        <w:pStyle w:val="Compact"/>
        <w:numPr>
          <w:ilvl w:val="0"/>
          <w:numId w:val="17"/>
        </w:numPr>
      </w:pPr>
      <w:r>
        <w:t>Estimate the total expected number of secondary notifications (</w:t>
      </w:r>
      <m:oMath>
        <m:r>
          <w:rPr>
            <w:rFonts w:ascii="Cambria Math" w:hAnsi="Cambria Math"/>
          </w:rPr>
          <m:t>T</m:t>
        </m:r>
      </m:oMath>
      <w:r>
        <w:t>) arising from any single primary notification using the following,</w:t>
      </w:r>
    </w:p>
    <w:p w:rsidR="008D540B" w:rsidRDefault="000D73CA">
      <w:pPr>
        <w:pStyle w:val="FirstParagraph"/>
      </w:pPr>
      <m:oMathPara>
        <m:oMathParaPr>
          <m:jc m:val="center"/>
        </m:oMathParaPr>
        <m:oMath>
          <m:r>
            <w:rPr>
              <w:rFonts w:ascii="Cambria Math" w:hAnsi="Cambria Math"/>
            </w:rPr>
            <m:t>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z</m:t>
              </m:r>
            </m:sup>
          </m:sSubSup>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8D540B" w:rsidRDefault="000D73CA">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expected number of secondary cases produced by a single infection in a completely susceptible population,[16]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notification of the patient who infected them.</w:t>
      </w:r>
    </w:p>
    <w:p w:rsidR="008D540B" w:rsidRDefault="000D73CA">
      <w:pPr>
        <w:pStyle w:val="Compact"/>
        <w:numPr>
          <w:ilvl w:val="0"/>
          <w:numId w:val="18"/>
        </w:numPr>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rsidR="008D540B" w:rsidRDefault="000D73CA">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rsidR="008D540B" w:rsidRDefault="000D73CA">
      <w:pPr>
        <w:pStyle w:val="FirstParagraph"/>
      </w:pPr>
      <w:r>
        <w:t>3. Estimate the expected average interval between each primary notification and all secondary notifications (</w:t>
      </w:r>
      <m:oMath>
        <m:r>
          <w:rPr>
            <w:rFonts w:ascii="Cambria Math" w:hAnsi="Cambria Math"/>
          </w:rPr>
          <m:t>Z</m:t>
        </m:r>
      </m:oMath>
      <w:r>
        <w:t>). This is defined to be the sum of time to all notifications, weighted by the fraction in each generation, divided by the sum of all notifications. Mathematically this is,</w:t>
      </w:r>
    </w:p>
    <w:p w:rsidR="008D540B" w:rsidRDefault="000D73CA">
      <w:pPr>
        <w:pStyle w:val="BodyText"/>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rsidR="008D540B" w:rsidRDefault="000D73CA">
      <w:pPr>
        <w:pStyle w:val="FirstParagraph"/>
      </w:pPr>
      <w:r>
        <w:t>Implementing the model required several assumptions not detailed in [11].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was then modelled as follows,</w:t>
      </w:r>
    </w:p>
    <w:p w:rsidR="008D540B" w:rsidRDefault="00840EEF">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=PTfx</m:t>
          </m:r>
        </m:oMath>
      </m:oMathPara>
    </w:p>
    <w:p w:rsidR="008D540B" w:rsidRDefault="00840EEF">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=(PT-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5-Z</m:t>
              </m:r>
            </m:sup>
          </m:sSup>
        </m:oMath>
      </m:oMathPara>
    </w:p>
    <w:p w:rsidR="008D540B" w:rsidRDefault="00840EEF">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i-1</m:t>
              </m:r>
            </m:sub>
            <m:sup>
              <m:r>
                <w:rPr>
                  <w:rFonts w:ascii="Cambria Math" w:hAnsi="Cambria Math"/>
                </w:rPr>
                <m:t>Projected</m:t>
              </m:r>
            </m:sup>
          </m:sSubSup>
        </m:oMath>
      </m:oMathPara>
    </w:p>
    <w:p w:rsidR="008D540B" w:rsidRDefault="000D73CA">
      <w:pPr>
        <w:pStyle w:val="FirstParagraph"/>
      </w:pPr>
      <w:r>
        <w:t xml:space="preserve">where </w:t>
      </w:r>
      <m:oMath>
        <m:r>
          <w:rPr>
            <w:rFonts w:ascii="Cambria Math" w:hAnsi="Cambria Math"/>
          </w:rPr>
          <m:t>P</m:t>
        </m:r>
      </m:oMath>
      <w:r>
        <w:t xml:space="preserve"> is the number of primary notifications, and </w:t>
      </w:r>
      <m:oMath>
        <m:r>
          <w:rPr>
            <w:rFonts w:ascii="Cambria Math" w:hAnsi="Cambria Math"/>
          </w:rPr>
          <m:t>i</m:t>
        </m:r>
      </m:oMath>
      <w:r>
        <w:t xml:space="preserve"> 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rsidR="008D540B" w:rsidRDefault="000D73CA">
      <w:pPr>
        <w:pStyle w:val="Heading2"/>
      </w:pPr>
      <w:bookmarkStart w:id="9" w:name="updating-model-parameter-estimates"/>
      <w:bookmarkEnd w:id="9"/>
      <w:r>
        <w:lastRenderedPageBreak/>
        <w:t>Updating model parameter estimates</w:t>
      </w:r>
    </w:p>
    <w:p w:rsidR="008D540B" w:rsidRDefault="000D73CA">
      <w:pPr>
        <w:pStyle w:val="FirstParagraph"/>
      </w:pPr>
      <w:r>
        <w:t>Incidence rates were included as point estimates in [11]; in our updated model we included uncertainty in these rates. We estimated notifications for 1973, 1978, and 1983, using published incidence rates and population estimates. Samples were then generated using a Poisson distribution.[11,14] These samples were then used to estimate a distribution of incidence rates. Sutherland et al. assumed a serial interval of 2 years between linked infections. We updated this assumption using an estimate from a recent study in the Netherlands of 1.44 (95% CI 1.29 to 1.63) years.[17]</w:t>
      </w:r>
    </w:p>
    <w:p w:rsidR="008D540B" w:rsidRDefault="000D73CA">
      <w:pPr>
        <w:pStyle w:val="BodyText"/>
      </w:pPr>
      <w:r>
        <w:t xml:space="preserve">We considered the original assumption of a 9% annual decrease in incidence rates as well as three scenarios based on those considered by the JVCI BCG subgroup:[12,13] 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 </w:t>
      </w:r>
      <w:r>
        <w:rPr>
          <w:rStyle w:val="VerbatimChar"/>
        </w:rPr>
        <w:t>prop.test</w:t>
      </w:r>
      <w:r>
        <w:t xml:space="preserve"> function in R.[18] The second proxy used was the annual decrease in the UK born age-specific incidence rates in the English population. These were calculated using notification data from the Enhanced Tuberculosis surveillance system (ETS) and the June Labour Force Survey.[10] Incidence rates (with SDs) were estimated using the epiR package.[19].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 [11],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rsidR="008D540B" w:rsidRDefault="000D73CA">
      <w:pPr>
        <w:pStyle w:val="Heading2"/>
      </w:pPr>
      <w:bookmarkStart w:id="10" w:name="statistical-analysis"/>
      <w:bookmarkEnd w:id="10"/>
      <w:r>
        <w:t>Statistical analysis</w:t>
      </w:r>
    </w:p>
    <w:p w:rsidR="008D540B" w:rsidRDefault="000D73CA">
      <w:pPr>
        <w:pStyle w:val="FirstParagraph"/>
      </w:pPr>
      <w:r>
        <w:t>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 [11] a 15 year time horizon was used with 5 year intervals. The year closest to the year of the change in vaccination policy (2005), which had model estimates, was used as the baseline.</w:t>
      </w:r>
    </w:p>
    <w:p w:rsidR="00881965" w:rsidRDefault="00881965" w:rsidP="00881965">
      <w:pPr>
        <w:pStyle w:val="BodyText"/>
      </w:pPr>
    </w:p>
    <w:p w:rsidR="00881965" w:rsidRDefault="00881965" w:rsidP="00881965">
      <w:pPr>
        <w:pStyle w:val="Heading2"/>
      </w:pPr>
      <w:r>
        <w:t>Patient and public involvement</w:t>
      </w:r>
    </w:p>
    <w:p w:rsidR="00881965" w:rsidRPr="00881965" w:rsidRDefault="00881965" w:rsidP="00881965">
      <w:pPr>
        <w:pStyle w:val="BodyText"/>
      </w:pPr>
      <w:r>
        <w:t>We did not involve patients or the public in this study.</w:t>
      </w:r>
    </w:p>
    <w:p w:rsidR="008D540B" w:rsidRDefault="000D73CA">
      <w:pPr>
        <w:pStyle w:val="Heading1"/>
      </w:pPr>
      <w:bookmarkStart w:id="11" w:name="results"/>
      <w:bookmarkEnd w:id="11"/>
      <w:r>
        <w:lastRenderedPageBreak/>
        <w:t>Results</w:t>
      </w:r>
    </w:p>
    <w:p w:rsidR="008D540B" w:rsidRDefault="000D73CA">
      <w:pPr>
        <w:pStyle w:val="Heading2"/>
      </w:pPr>
      <w:bookmarkStart w:id="12" w:name="model-validation"/>
      <w:bookmarkEnd w:id="12"/>
      <w:r>
        <w:t>Model validation</w:t>
      </w:r>
    </w:p>
    <w:p w:rsidR="008D540B" w:rsidRDefault="000D73CA">
      <w:pPr>
        <w:pStyle w:val="FirstParagraph"/>
      </w:pPr>
      <w:r>
        <w:t>Our model produced results that were comparable with those from [11] (supplementary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 [11].</w:t>
      </w:r>
    </w:p>
    <w:p w:rsidR="008D540B" w:rsidRDefault="000D73CA">
      <w:pPr>
        <w:pStyle w:val="Heading2"/>
      </w:pPr>
      <w:bookmarkStart w:id="13" w:name="annual-change-in-tb-incidence-rates"/>
      <w:bookmarkEnd w:id="13"/>
      <w:r>
        <w:t>Annual change in TB incidence rates</w:t>
      </w:r>
    </w:p>
    <w:p w:rsidR="008D540B" w:rsidRDefault="000D73CA">
      <w:pPr>
        <w:pStyle w:val="FirstParagraph"/>
      </w:pPr>
      <w:r>
        <w:t>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t>
      </w:r>
    </w:p>
    <w:p w:rsidR="008D540B" w:rsidRDefault="000D73CA">
      <w:pPr>
        <w:pStyle w:val="Heading2"/>
      </w:pPr>
      <w:bookmarkStart w:id="14" w:name="vaccines-required-to-prevent-a-single-no"/>
      <w:bookmarkEnd w:id="14"/>
      <w:r>
        <w:t>Vaccines required to prevent a single notification</w:t>
      </w:r>
    </w:p>
    <w:p w:rsidR="008D540B" w:rsidRDefault="000D73CA">
      <w:pPr>
        <w:pStyle w:val="FirstParagraph"/>
      </w:pPr>
      <w:r>
        <w:t>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rsidR="00EE3148" w:rsidRPr="00EE3148" w:rsidRDefault="00EE3148" w:rsidP="00EE3148">
      <w:pPr>
        <w:pStyle w:val="BodyText"/>
        <w:rPr>
          <w:i/>
        </w:rPr>
      </w:pPr>
      <w:r w:rsidRPr="00EE3148">
        <w:rPr>
          <w:i/>
        </w:rPr>
        <w:t>Figure 1 here</w:t>
      </w:r>
    </w:p>
    <w:p w:rsidR="00EE3148" w:rsidRPr="00EE3148" w:rsidRDefault="00EE3148" w:rsidP="00EE3148">
      <w:pPr>
        <w:pStyle w:val="BodyText"/>
      </w:pPr>
    </w:p>
    <w:p w:rsidR="008D540B" w:rsidRDefault="000D73CA">
      <w:pPr>
        <w:pStyle w:val="Heading3"/>
      </w:pPr>
      <w:bookmarkStart w:id="15" w:name="average-annual-additional-cases-from-end"/>
      <w:bookmarkEnd w:id="15"/>
      <w:r>
        <w:lastRenderedPageBreak/>
        <w:t>Average annual additional cases from ending the BCG schools’ scheme at various dates</w:t>
      </w:r>
    </w:p>
    <w:p w:rsidR="008D540B" w:rsidRDefault="000D73CA">
      <w:pPr>
        <w:pStyle w:val="FirstParagraph"/>
      </w:pPr>
      <w:r>
        <w:t>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rsidR="00EE3148" w:rsidRPr="00EE3148" w:rsidRDefault="00EE3148" w:rsidP="00EE3148">
      <w:pPr>
        <w:pStyle w:val="BodyText"/>
        <w:rPr>
          <w:i/>
        </w:rPr>
      </w:pPr>
      <w:r w:rsidRPr="00EE3148">
        <w:rPr>
          <w:i/>
        </w:rPr>
        <w:t>Figure 2 here</w:t>
      </w:r>
    </w:p>
    <w:p w:rsidR="008D540B" w:rsidRDefault="000D73CA">
      <w:pPr>
        <w:pStyle w:val="Heading1"/>
      </w:pPr>
      <w:bookmarkStart w:id="16" w:name="discussion"/>
      <w:bookmarkEnd w:id="16"/>
      <w:r>
        <w:t>Discussion</w:t>
      </w:r>
    </w:p>
    <w:p w:rsidR="008D540B" w:rsidRDefault="000D73CA">
      <w:pPr>
        <w:pStyle w:val="FirstParagraph"/>
      </w:pPr>
      <w:r>
        <w:t>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rsidR="008D540B" w:rsidRDefault="000D73CA">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w:t>
      </w:r>
      <w:r>
        <w:lastRenderedPageBreak/>
        <w:t>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rsidR="008D540B" w:rsidRDefault="000D73CA">
      <w:pPr>
        <w:pStyle w:val="BodyText"/>
      </w:pPr>
      <w:r>
        <w:t>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(8-53%).[20] 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would also be less likely to result in the same reductions in ongoing transmission.</w:t>
      </w:r>
    </w:p>
    <w:p w:rsidR="008D540B" w:rsidRDefault="000D73CA">
      <w:pPr>
        <w:pStyle w:val="BodyText"/>
      </w:pPr>
      <w:r>
        <w:t>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rsidR="008D540B" w:rsidRDefault="000D73CA">
      <w:pPr>
        <w:pStyle w:val="BodyText"/>
      </w:pPr>
      <w:r>
        <w:lastRenderedPageBreak/>
        <w:t>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rsidR="008D540B" w:rsidRDefault="000D73CA">
      <w:pPr>
        <w:pStyle w:val="BodyText"/>
      </w:pPr>
      <w:r>
        <w:rPr>
          <w:b/>
        </w:rPr>
        <w:t>Acknowledgements</w:t>
      </w:r>
    </w:p>
    <w:p w:rsidR="008D540B" w:rsidRDefault="000D73CA">
      <w:pPr>
        <w:pStyle w:val="BodyText"/>
      </w:pPr>
      <w:r>
        <w:t>The authors thank the TB section at Public Health England (PHE) for maintaining the Enhanced Tuberculosis Surveillance (ETS) system; all the healthcare workers involved in data collection for the ETS.</w:t>
      </w:r>
    </w:p>
    <w:p w:rsidR="008D540B" w:rsidRDefault="000D73CA">
      <w:pPr>
        <w:pStyle w:val="BodyText"/>
      </w:pPr>
      <w:r>
        <w:rPr>
          <w:b/>
        </w:rPr>
        <w:t>Contributors</w:t>
      </w:r>
    </w:p>
    <w:p w:rsidR="008D540B" w:rsidRDefault="000D73CA">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rsidR="008D540B" w:rsidRDefault="000D73CA">
      <w:pPr>
        <w:pStyle w:val="BodyText"/>
      </w:pPr>
      <w:r>
        <w:rPr>
          <w:b/>
        </w:rPr>
        <w:t>Funding</w:t>
      </w:r>
    </w:p>
    <w:p w:rsidR="008D540B" w:rsidRDefault="000D73CA">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rsidR="008D540B" w:rsidRDefault="000D73CA">
      <w:pPr>
        <w:pStyle w:val="BodyText"/>
      </w:pPr>
      <w:r>
        <w:rPr>
          <w:b/>
        </w:rPr>
        <w:t>Conflicts of interest</w:t>
      </w:r>
    </w:p>
    <w:p w:rsidR="008D540B" w:rsidRDefault="000D73CA">
      <w:pPr>
        <w:pStyle w:val="BodyText"/>
      </w:pPr>
      <w:r>
        <w:t>HC reports receiving honoraria from Sanofi Pasteur, and consultancy fees from AstraZeneca, GSK and IMS Health, all paid to her employer.</w:t>
      </w:r>
    </w:p>
    <w:p w:rsidR="008D540B" w:rsidRDefault="000D73CA">
      <w:pPr>
        <w:pStyle w:val="BodyText"/>
      </w:pPr>
      <w:r>
        <w:rPr>
          <w:b/>
        </w:rPr>
        <w:t>Accessibility of data and programming code</w:t>
      </w:r>
    </w:p>
    <w:p w:rsidR="008D540B" w:rsidRDefault="000D73CA">
      <w:pPr>
        <w:pStyle w:val="BodyText"/>
      </w:pPr>
      <w:r>
        <w:t>The code</w:t>
      </w:r>
      <w:r w:rsidR="00EE3148">
        <w:t xml:space="preserve"> and data</w:t>
      </w:r>
      <w:r>
        <w:t xml:space="preserve"> for the analysis contained in this paper can be found at: </w:t>
      </w:r>
      <w:hyperlink r:id="rId9">
        <w:r>
          <w:rPr>
            <w:rStyle w:val="Hyperlink"/>
          </w:rPr>
          <w:t>DOI:10.5281/zenodo.2583056</w:t>
        </w:r>
      </w:hyperlink>
    </w:p>
    <w:p w:rsidR="008D540B" w:rsidRDefault="000D73CA">
      <w:pPr>
        <w:pStyle w:val="Heading1"/>
      </w:pPr>
      <w:bookmarkStart w:id="17" w:name="references"/>
      <w:bookmarkEnd w:id="17"/>
      <w:r>
        <w:t>References</w:t>
      </w:r>
    </w:p>
    <w:p w:rsidR="008D540B" w:rsidRDefault="000D73CA">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8D540B" w:rsidRDefault="000D73CA">
      <w:pPr>
        <w:pStyle w:val="BodyText"/>
      </w:pPr>
      <w:r>
        <w:lastRenderedPageBreak/>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rsidR="008D540B" w:rsidRDefault="000D73CA">
      <w:pPr>
        <w:pStyle w:val="BodyText"/>
      </w:pPr>
      <w:r>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rsidR="008D540B" w:rsidRDefault="000D73CA">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rsidR="008D540B" w:rsidRDefault="000D73CA">
      <w:pPr>
        <w:pStyle w:val="BodyText"/>
      </w:pPr>
      <w:r>
        <w:t xml:space="preserve">5 World Health Organization. </w:t>
      </w:r>
      <w:r>
        <w:rPr>
          <w:i/>
        </w:rPr>
        <w:t>Global Tuberculosis Report</w:t>
      </w:r>
      <w:r>
        <w:t xml:space="preserve">. 2017. </w:t>
      </w:r>
    </w:p>
    <w:p w:rsidR="008D540B" w:rsidRDefault="000D73CA">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8D540B" w:rsidRDefault="000D73CA">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rsidR="008D540B" w:rsidRDefault="000D73CA">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8D540B" w:rsidRDefault="000D73CA">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8D540B" w:rsidRDefault="000D73CA">
      <w:pPr>
        <w:pStyle w:val="BodyText"/>
      </w:pPr>
      <w:r>
        <w:t xml:space="preserve">10 Public Health England. Tuberculosis in England 2017 report ( presenting data to end of 2016 ) About Public Health England. 2017. </w:t>
      </w:r>
    </w:p>
    <w:p w:rsidR="008D540B" w:rsidRDefault="000D73CA">
      <w:pPr>
        <w:pStyle w:val="BodyText"/>
      </w:pPr>
      <w:r>
        <w:t xml:space="preserve">11 Sutherland I, Springett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rsidR="008D540B" w:rsidRDefault="000D73CA">
      <w:pPr>
        <w:pStyle w:val="BodyText"/>
      </w:pPr>
      <w:r>
        <w:t xml:space="preserve">12 Joint Committee on Vaccination, panel IB. Minutes. 2002. </w:t>
      </w:r>
    </w:p>
    <w:p w:rsidR="008D540B" w:rsidRDefault="000D73CA">
      <w:pPr>
        <w:pStyle w:val="BodyText"/>
      </w:pPr>
      <w:r>
        <w:t xml:space="preserve">13 Joint Committee on Vaccination, panel IB. Minutes. 2003. </w:t>
      </w:r>
    </w:p>
    <w:p w:rsidR="008D540B" w:rsidRDefault="000D73CA">
      <w:pPr>
        <w:pStyle w:val="BodyText"/>
      </w:pPr>
      <w:r>
        <w:t xml:space="preserve">14 Sutherland I. Effectiveness of BCG vaccination in England and Wales in 1983. </w:t>
      </w:r>
      <w:r>
        <w:rPr>
          <w:i/>
        </w:rPr>
        <w:t>Tubercle</w:t>
      </w:r>
      <w:r>
        <w:t xml:space="preserve"> 1987;</w:t>
      </w:r>
      <w:r>
        <w:rPr>
          <w:b/>
        </w:rPr>
        <w:t>68</w:t>
      </w:r>
      <w:r>
        <w:t>:81–92.</w:t>
      </w:r>
    </w:p>
    <w:p w:rsidR="008D540B" w:rsidRDefault="000D73CA">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8D540B" w:rsidRDefault="000D73CA">
      <w:pPr>
        <w:pStyle w:val="BodyText"/>
      </w:pPr>
      <w:r>
        <w:t xml:space="preserve">16 Anderson RM, May RM. Infectious Diseases of Humans: Dynamics and Control (Oxford Univ. </w:t>
      </w:r>
      <w:r>
        <w:rPr>
          <w:i/>
        </w:rPr>
        <w:t>Press, Oxford</w:t>
      </w:r>
      <w:r>
        <w:t xml:space="preserve"> 1991.</w:t>
      </w:r>
    </w:p>
    <w:p w:rsidR="008D540B" w:rsidRDefault="000D73CA">
      <w:pPr>
        <w:pStyle w:val="BodyText"/>
      </w:pPr>
      <w:r>
        <w:t xml:space="preserve">17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8D540B" w:rsidRDefault="000D73CA">
      <w:pPr>
        <w:pStyle w:val="BodyText"/>
      </w:pPr>
      <w:r>
        <w:lastRenderedPageBreak/>
        <w:t xml:space="preserve">18 R Core Team. R: A Language and Environment for Statistical Computing. Vienna, Austria: 2016. </w:t>
      </w:r>
    </w:p>
    <w:p w:rsidR="008D540B" w:rsidRDefault="000D73CA">
      <w:pPr>
        <w:pStyle w:val="BodyText"/>
      </w:pPr>
      <w:r>
        <w:t xml:space="preserve">19 Stevenson M, Nunes T, Heuer C </w:t>
      </w:r>
      <w:r>
        <w:rPr>
          <w:i/>
        </w:rPr>
        <w:t>et al.</w:t>
      </w:r>
      <w:r>
        <w:t xml:space="preserve"> </w:t>
      </w:r>
      <w:r>
        <w:rPr>
          <w:i/>
        </w:rPr>
        <w:t>epiR: Tools for the Analysis of Epidemiological Data</w:t>
      </w:r>
      <w:r>
        <w:t xml:space="preserve">. 2017. </w:t>
      </w:r>
    </w:p>
    <w:p w:rsidR="008D540B" w:rsidRDefault="000D73CA">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cluster-randomised trial. </w:t>
      </w:r>
      <w:r>
        <w:rPr>
          <w:i/>
        </w:rPr>
        <w:t>Lancet Infectious Diseases</w:t>
      </w:r>
      <w:r>
        <w:t xml:space="preserve"> 2012;</w:t>
      </w:r>
      <w:r>
        <w:rPr>
          <w:b/>
        </w:rPr>
        <w:t>12</w:t>
      </w:r>
      <w:r>
        <w:t>:300–6.</w:t>
      </w:r>
    </w:p>
    <w:p w:rsidR="008D540B" w:rsidRDefault="000D73CA">
      <w:pPr>
        <w:pStyle w:val="BodyText"/>
      </w:pPr>
      <w:r>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rsidR="008D540B" w:rsidRDefault="000D73CA">
      <w:pPr>
        <w:pStyle w:val="BodyText"/>
      </w:pPr>
      <w:r>
        <w:t xml:space="preserve">22 Fine PEM. Variation in protection by BCG: implications of and for heterologous immunity. </w:t>
      </w:r>
      <w:r>
        <w:rPr>
          <w:i/>
        </w:rPr>
        <w:t>Lancet</w:t>
      </w:r>
      <w:r>
        <w:t xml:space="preserve"> 1995;</w:t>
      </w:r>
      <w:r>
        <w:rPr>
          <w:b/>
        </w:rPr>
        <w:t>346</w:t>
      </w:r>
      <w:r>
        <w:t>:1339–45.</w:t>
      </w:r>
    </w:p>
    <w:p w:rsidR="008D540B" w:rsidRDefault="000D73CA">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rsidR="008D540B" w:rsidRDefault="000D73CA">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rsidR="008D540B" w:rsidRDefault="000D73CA">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rsidR="008D540B" w:rsidRDefault="000D73CA">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rsidR="008D540B" w:rsidRDefault="000D73CA">
      <w:pPr>
        <w:pStyle w:val="BodyText"/>
      </w:pPr>
      <w:r>
        <w:t xml:space="preserve">27 Guthmann JP, Antoine D, Fonteneau L </w:t>
      </w:r>
      <w:r>
        <w:rPr>
          <w:i/>
        </w:rPr>
        <w:t>et al.</w:t>
      </w:r>
      <w:r>
        <w:t xml:space="preserve"> Assessing BCG vaccination coverage and incidence of paediatric tuberculosis following two major changes in BCG vaccination policy in France. 2011;1–6.</w:t>
      </w:r>
    </w:p>
    <w:p w:rsidR="000D73CA" w:rsidRDefault="000D73CA">
      <w:bookmarkStart w:id="18" w:name="abstract"/>
      <w:bookmarkStart w:id="19" w:name="supplementary-information-reassessing-th"/>
      <w:bookmarkStart w:id="20" w:name="recreating-the-estimation-model-of-suthe"/>
      <w:bookmarkEnd w:id="18"/>
      <w:bookmarkEnd w:id="19"/>
      <w:bookmarkEnd w:id="20"/>
    </w:p>
    <w:sectPr w:rsidR="000D73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EEF" w:rsidRDefault="00840EEF">
      <w:r>
        <w:separator/>
      </w:r>
    </w:p>
  </w:endnote>
  <w:endnote w:type="continuationSeparator" w:id="0">
    <w:p w:rsidR="00840EEF" w:rsidRDefault="00840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EEF" w:rsidRDefault="00840EEF">
      <w:r>
        <w:separator/>
      </w:r>
    </w:p>
  </w:footnote>
  <w:footnote w:type="continuationSeparator" w:id="0">
    <w:p w:rsidR="00840EEF" w:rsidRDefault="00840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5"/>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6"/>
  </w:num>
  <w:num w:numId="15">
    <w:abstractNumId w:val="0"/>
  </w:num>
  <w:num w:numId="16">
    <w:abstractNumId w:val="0"/>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3CA"/>
    <w:rsid w:val="00112259"/>
    <w:rsid w:val="001E1F75"/>
    <w:rsid w:val="004E29B3"/>
    <w:rsid w:val="00590D07"/>
    <w:rsid w:val="006B7450"/>
    <w:rsid w:val="00784D58"/>
    <w:rsid w:val="007D6665"/>
    <w:rsid w:val="00840EEF"/>
    <w:rsid w:val="00881965"/>
    <w:rsid w:val="008D540B"/>
    <w:rsid w:val="008D6863"/>
    <w:rsid w:val="00B86B75"/>
    <w:rsid w:val="00BC48D5"/>
    <w:rsid w:val="00C36279"/>
    <w:rsid w:val="00E315A3"/>
    <w:rsid w:val="00EE31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2127D"/>
  <w15:docId w15:val="{EC3BDE5D-FDEF-8B4C-BBBD-9278FCB9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3148"/>
    <w:pPr>
      <w:spacing w:after="0"/>
    </w:pPr>
    <w:rPr>
      <w:rFonts w:ascii="Times New Roman" w:eastAsia="Times New Roman" w:hAnsi="Times New Roman" w:cs="Times New Roman"/>
      <w:lang w:val="en-GB"/>
    </w:rPr>
  </w:style>
  <w:style w:type="paragraph" w:styleId="Heading1">
    <w:name w:val="heading 1"/>
    <w:basedOn w:val="Normal"/>
    <w:next w:val="BodyText"/>
    <w:link w:val="Heading1Char"/>
    <w:uiPriority w:val="9"/>
    <w:qFormat/>
    <w:rsid w:val="00FE604A"/>
    <w:pPr>
      <w:keepNext/>
      <w:keepLines/>
      <w:spacing w:before="480"/>
      <w:outlineLvl w:val="0"/>
    </w:pPr>
    <w:rPr>
      <w:rFonts w:asciiTheme="majorHAnsi" w:eastAsiaTheme="majorEastAsia" w:hAnsiTheme="majorHAnsi" w:cstheme="majorBidi"/>
      <w:b/>
      <w:bCs/>
      <w:color w:val="000000" w:themeColor="text1"/>
      <w:sz w:val="28"/>
      <w:szCs w:val="32"/>
      <w:lang w:val="en-US"/>
    </w:rPr>
  </w:style>
  <w:style w:type="paragraph" w:styleId="Heading2">
    <w:name w:val="heading 2"/>
    <w:basedOn w:val="Normal"/>
    <w:next w:val="BodyText"/>
    <w:link w:val="Heading2Char"/>
    <w:uiPriority w:val="9"/>
    <w:unhideWhenUsed/>
    <w:qFormat/>
    <w:rsid w:val="00FE604A"/>
    <w:pPr>
      <w:keepNext/>
      <w:keepLines/>
      <w:spacing w:before="200"/>
      <w:outlineLvl w:val="1"/>
    </w:pPr>
    <w:rPr>
      <w:rFonts w:asciiTheme="majorHAnsi" w:eastAsiaTheme="majorEastAsia" w:hAnsiTheme="majorHAnsi" w:cstheme="majorBidi"/>
      <w:b/>
      <w:bCs/>
      <w:color w:val="000000" w:themeColor="text1"/>
      <w:szCs w:val="32"/>
      <w:lang w:val="en-US"/>
    </w:rPr>
  </w:style>
  <w:style w:type="paragraph" w:styleId="Heading3">
    <w:name w:val="heading 3"/>
    <w:basedOn w:val="Normal"/>
    <w:next w:val="BodyText"/>
    <w:uiPriority w:val="9"/>
    <w:unhideWhenUsed/>
    <w:qFormat/>
    <w:rsid w:val="00FE604A"/>
    <w:pPr>
      <w:keepNext/>
      <w:keepLines/>
      <w:spacing w:before="200"/>
      <w:outlineLvl w:val="2"/>
    </w:pPr>
    <w:rPr>
      <w:rFonts w:asciiTheme="majorHAnsi" w:eastAsiaTheme="majorEastAsia" w:hAnsiTheme="majorHAnsi" w:cstheme="majorBidi"/>
      <w:b/>
      <w:bCs/>
      <w:color w:val="000000" w:themeColor="text1"/>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6B7450"/>
    <w:rPr>
      <w:rFonts w:eastAsiaTheme="minorHAnsi"/>
      <w:sz w:val="18"/>
      <w:szCs w:val="18"/>
      <w:lang w:val="en-US"/>
    </w:rPr>
  </w:style>
  <w:style w:type="character" w:customStyle="1" w:styleId="BalloonTextChar">
    <w:name w:val="Balloon Text Char"/>
    <w:basedOn w:val="DefaultParagraphFont"/>
    <w:link w:val="BalloonText"/>
    <w:semiHidden/>
    <w:rsid w:val="006B7450"/>
    <w:rPr>
      <w:rFonts w:ascii="Times New Roman" w:hAnsi="Times New Roman" w:cs="Times New Roman"/>
      <w:sz w:val="18"/>
      <w:szCs w:val="18"/>
    </w:rPr>
  </w:style>
  <w:style w:type="character" w:customStyle="1" w:styleId="Heading1Char">
    <w:name w:val="Heading 1 Char"/>
    <w:basedOn w:val="DefaultParagraphFont"/>
    <w:link w:val="Heading1"/>
    <w:uiPriority w:val="9"/>
    <w:rsid w:val="006B7450"/>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6B7450"/>
    <w:rPr>
      <w:rFonts w:asciiTheme="majorHAnsi" w:eastAsiaTheme="majorEastAsia" w:hAnsiTheme="majorHAnsi" w:cstheme="majorBidi"/>
      <w:b/>
      <w:bCs/>
      <w:color w:val="000000" w:themeColor="text1"/>
      <w:szCs w:val="32"/>
    </w:rPr>
  </w:style>
  <w:style w:type="character" w:customStyle="1" w:styleId="apple-converted-space">
    <w:name w:val="apple-converted-space"/>
    <w:basedOn w:val="DefaultParagraphFont"/>
    <w:rsid w:val="00EE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3" Type="http://schemas.openxmlformats.org/officeDocument/2006/relationships/settings" Target="settings.xml"/><Relationship Id="rId7" Type="http://schemas.openxmlformats.org/officeDocument/2006/relationships/hyperlink" Target="mailto:sam.abbott@brist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OI:10.5281/zenodo.2583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Reassessing the Evidence for Universal School-age Bacillus Calmette Guerin (BCG) Vaccination in England and Wales</vt:lpstr>
    </vt:vector>
  </TitlesOfParts>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6</cp:revision>
  <dcterms:created xsi:type="dcterms:W3CDTF">2019-05-01T15:26:00Z</dcterms:created>
  <dcterms:modified xsi:type="dcterms:W3CDTF">2019-05-09T16:25:00Z</dcterms:modified>
</cp:coreProperties>
</file>